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4E81" w14:textId="52FC1BC1" w:rsidR="00606DF2" w:rsidRPr="006616E9" w:rsidRDefault="00606DF2" w:rsidP="006616E9">
      <w:pPr>
        <w:pStyle w:val="Heading2"/>
      </w:pPr>
      <w:r w:rsidRPr="006616E9">
        <w:t>Report title:</w:t>
      </w:r>
      <w:r w:rsidR="00127D00">
        <w:t xml:space="preserve"> ICS Green Plan Update</w:t>
      </w:r>
    </w:p>
    <w:p w14:paraId="4CE0A0F8" w14:textId="451CA8FE" w:rsidR="00606DF2" w:rsidRDefault="00606DF2" w:rsidP="00606DF2">
      <w:pPr>
        <w:pStyle w:val="Heading3"/>
        <w:spacing w:before="340"/>
        <w:rPr>
          <w:rFonts w:eastAsiaTheme="minorHAnsi"/>
        </w:rPr>
      </w:pPr>
      <w:r>
        <w:rPr>
          <w:rFonts w:eastAsiaTheme="minorHAnsi"/>
        </w:rPr>
        <w:t>Backgr</w:t>
      </w:r>
      <w:r w:rsidRPr="00D63E5C">
        <w:rPr>
          <w:rFonts w:eastAsiaTheme="minorHAnsi"/>
          <w:color w:val="002060"/>
        </w:rPr>
        <w:t>ound</w:t>
      </w:r>
    </w:p>
    <w:p w14:paraId="28835D39" w14:textId="794E2EA5" w:rsidR="00D80057" w:rsidRPr="0092691F" w:rsidRDefault="00D80057" w:rsidP="00D80057">
      <w:pPr>
        <w:rPr>
          <w:rFonts w:cs="Arial"/>
        </w:rPr>
      </w:pPr>
      <w:r w:rsidRPr="0092691F">
        <w:rPr>
          <w:rFonts w:cs="Arial"/>
        </w:rPr>
        <w:t xml:space="preserve">ICS partners across the system have been working to embed our ambitious sustainability goals and create a governance structure and delivery plan that sees us working together to achieve our immediate and future goals. This year has seen the publication of the ICS revised Green Plan, setting out our sustainability commitments and outcomes and confirming our aim to be a leader in delivering sustainable healthcare for our region. All ICS partners have signed up to the Green Plan, aligning our efforts and amplifying our action and outcomes. The ICS has also developed a delivery plan to drive implementation and monitor progress against the Green Plan commitments. </w:t>
      </w:r>
    </w:p>
    <w:p w14:paraId="529C2D52" w14:textId="3E51142E" w:rsidR="00D80057" w:rsidRPr="0092691F" w:rsidRDefault="00D80057" w:rsidP="00D80057">
      <w:pPr>
        <w:rPr>
          <w:rFonts w:cs="Arial"/>
        </w:rPr>
      </w:pPr>
      <w:r w:rsidRPr="0092691F">
        <w:rPr>
          <w:rFonts w:cs="Arial"/>
        </w:rPr>
        <w:t xml:space="preserve">The Green Plan sets out three clear outcomes that we are working </w:t>
      </w:r>
      <w:proofErr w:type="gramStart"/>
      <w:r w:rsidRPr="0092691F">
        <w:rPr>
          <w:rFonts w:cs="Arial"/>
        </w:rPr>
        <w:t>towards;</w:t>
      </w:r>
      <w:proofErr w:type="gramEnd"/>
    </w:p>
    <w:p w14:paraId="4C83944E" w14:textId="3672EB5F" w:rsidR="00D80057" w:rsidRPr="0092691F" w:rsidRDefault="00D80057" w:rsidP="00D80057">
      <w:pPr>
        <w:pStyle w:val="ListParagraph"/>
        <w:numPr>
          <w:ilvl w:val="0"/>
          <w:numId w:val="6"/>
        </w:numPr>
        <w:spacing w:after="200" w:line="276" w:lineRule="auto"/>
        <w:rPr>
          <w:rFonts w:cs="Arial"/>
        </w:rPr>
      </w:pPr>
      <w:r w:rsidRPr="0092691F">
        <w:rPr>
          <w:rFonts w:cs="Arial"/>
        </w:rPr>
        <w:t>Net zero carbon by 2030 across scope 1, 2 and 3 emissions sources.</w:t>
      </w:r>
    </w:p>
    <w:p w14:paraId="6EDD554A" w14:textId="3F36D1B7" w:rsidR="00D80057" w:rsidRPr="0092691F" w:rsidRDefault="00D80057" w:rsidP="00D80057">
      <w:pPr>
        <w:pStyle w:val="ListParagraph"/>
        <w:numPr>
          <w:ilvl w:val="0"/>
          <w:numId w:val="6"/>
        </w:numPr>
        <w:spacing w:after="200" w:line="276" w:lineRule="auto"/>
        <w:rPr>
          <w:rFonts w:cs="Arial"/>
        </w:rPr>
      </w:pPr>
      <w:r w:rsidRPr="0092691F">
        <w:rPr>
          <w:rFonts w:cs="Arial"/>
        </w:rPr>
        <w:t xml:space="preserve">Improve the environment by reducing waste, improving air </w:t>
      </w:r>
      <w:proofErr w:type="gramStart"/>
      <w:r w:rsidRPr="0092691F">
        <w:rPr>
          <w:rFonts w:cs="Arial"/>
        </w:rPr>
        <w:t>quality</w:t>
      </w:r>
      <w:proofErr w:type="gramEnd"/>
      <w:r w:rsidRPr="0092691F">
        <w:rPr>
          <w:rFonts w:cs="Arial"/>
        </w:rPr>
        <w:t xml:space="preserve"> and restoring biodiversity.</w:t>
      </w:r>
    </w:p>
    <w:p w14:paraId="69B4D1AB" w14:textId="77777777" w:rsidR="00A03FE0" w:rsidRDefault="00D80057" w:rsidP="00D80057">
      <w:pPr>
        <w:pStyle w:val="ListParagraph"/>
        <w:numPr>
          <w:ilvl w:val="0"/>
          <w:numId w:val="6"/>
        </w:numPr>
        <w:spacing w:after="200" w:line="276" w:lineRule="auto"/>
        <w:rPr>
          <w:rFonts w:cs="Arial"/>
        </w:rPr>
      </w:pPr>
      <w:r w:rsidRPr="0092691F">
        <w:rPr>
          <w:rFonts w:cs="Arial"/>
        </w:rPr>
        <w:t xml:space="preserve">Create a BNSSG wide movement to support a culture change amongst, staff, </w:t>
      </w:r>
      <w:proofErr w:type="gramStart"/>
      <w:r w:rsidRPr="0092691F">
        <w:rPr>
          <w:rFonts w:cs="Arial"/>
        </w:rPr>
        <w:t>citizens</w:t>
      </w:r>
      <w:proofErr w:type="gramEnd"/>
      <w:r w:rsidRPr="0092691F">
        <w:rPr>
          <w:rFonts w:cs="Arial"/>
        </w:rPr>
        <w:t xml:space="preserve"> and businesses.</w:t>
      </w:r>
    </w:p>
    <w:p w14:paraId="2A0AED6A" w14:textId="45F4498E" w:rsidR="00537C2B" w:rsidRPr="006A57B1" w:rsidRDefault="00D80057" w:rsidP="006A57B1">
      <w:pPr>
        <w:spacing w:after="200" w:line="276" w:lineRule="auto"/>
        <w:jc w:val="center"/>
        <w:rPr>
          <w:noProof/>
        </w:rPr>
      </w:pPr>
      <w:r w:rsidRPr="007E2961">
        <w:rPr>
          <w:rFonts w:cs="Arial"/>
          <w:lang w:eastAsia="en-GB"/>
        </w:rPr>
        <w:t>Further development in the granularity of the delivery plan sets what our actions will achieve against these outcomes and identifies the gaps we need to focus on.</w:t>
      </w:r>
      <w:r w:rsidR="006A57B1" w:rsidRPr="006A57B1">
        <w:rPr>
          <w:noProof/>
        </w:rPr>
        <w:t xml:space="preserve"> </w:t>
      </w:r>
      <w:r w:rsidR="006A57B1" w:rsidRPr="004D430D">
        <w:rPr>
          <w:noProof/>
        </w:rPr>
        <w:drawing>
          <wp:inline distT="0" distB="0" distL="0" distR="0" wp14:anchorId="2AEEF8B2" wp14:editId="748FA686">
            <wp:extent cx="4298950" cy="4051635"/>
            <wp:effectExtent l="0" t="0" r="6350" b="6350"/>
            <wp:docPr id="3073" name="Picture 1" descr="page12image3340787648">
              <a:extLst xmlns:a="http://schemas.openxmlformats.org/drawingml/2006/main">
                <a:ext uri="{FF2B5EF4-FFF2-40B4-BE49-F238E27FC236}">
                  <a16:creationId xmlns:a16="http://schemas.microsoft.com/office/drawing/2014/main" id="{95BA7C2D-C1F1-5743-826A-957201FA4C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page12image3340787648">
                      <a:extLst>
                        <a:ext uri="{FF2B5EF4-FFF2-40B4-BE49-F238E27FC236}">
                          <a16:creationId xmlns:a16="http://schemas.microsoft.com/office/drawing/2014/main" id="{95BA7C2D-C1F1-5743-826A-957201FA4CD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882" cy="4056283"/>
                    </a:xfrm>
                    <a:prstGeom prst="rect">
                      <a:avLst/>
                    </a:prstGeom>
                    <a:noFill/>
                  </pic:spPr>
                </pic:pic>
              </a:graphicData>
            </a:graphic>
          </wp:inline>
        </w:drawing>
      </w:r>
    </w:p>
    <w:p w14:paraId="4B5FC387" w14:textId="50509399" w:rsidR="00537C2B" w:rsidRDefault="00537C2B" w:rsidP="00537C2B">
      <w:pPr>
        <w:pStyle w:val="Caption"/>
        <w:jc w:val="center"/>
      </w:pPr>
      <w:r>
        <w:t xml:space="preserve">Figure </w:t>
      </w:r>
      <w:r w:rsidR="006A57B1">
        <w:t xml:space="preserve">1 </w:t>
      </w:r>
      <w:r>
        <w:t>NHS carbon footprint scopes</w:t>
      </w:r>
    </w:p>
    <w:p w14:paraId="29FE8D9D" w14:textId="4635D4AF" w:rsidR="00D80057" w:rsidRPr="007E2961" w:rsidRDefault="00D80057" w:rsidP="00D80057">
      <w:pPr>
        <w:rPr>
          <w:rFonts w:cs="Arial"/>
          <w:lang w:eastAsia="en-GB"/>
        </w:rPr>
      </w:pPr>
      <w:r w:rsidRPr="007E2961">
        <w:rPr>
          <w:rFonts w:cs="Arial"/>
          <w:lang w:eastAsia="en-GB"/>
        </w:rPr>
        <w:lastRenderedPageBreak/>
        <w:t xml:space="preserve">This year, North Bristol and University Hospitals Bristol and Weston have worked together as one sustainability team along with colleagues from Sirona and Avon and Wiltshire Mental Health Partnership to achieve the Healthier Together Integrated Care System Green Plan objectives to mitigate the harmful impacts climate change will have on the health, wellbeing and livelihoods of the Bristol, North </w:t>
      </w:r>
      <w:proofErr w:type="gramStart"/>
      <w:r w:rsidRPr="007E2961">
        <w:rPr>
          <w:rFonts w:cs="Arial"/>
          <w:lang w:eastAsia="en-GB"/>
        </w:rPr>
        <w:t>Somerset</w:t>
      </w:r>
      <w:proofErr w:type="gramEnd"/>
      <w:r w:rsidRPr="007E2961">
        <w:rPr>
          <w:rFonts w:cs="Arial"/>
          <w:lang w:eastAsia="en-GB"/>
        </w:rPr>
        <w:t xml:space="preserve"> and South Gloucestershire population for generations to come. Achieving net zero, addressing the ecological emergency and building resilience to climate change through delivering our Green Plan will be crucial to delivering the best care for our patients now and in the future. </w:t>
      </w:r>
    </w:p>
    <w:p w14:paraId="258B9262" w14:textId="77777777" w:rsidR="00D80057" w:rsidRPr="007E2961" w:rsidRDefault="00D80057" w:rsidP="00D80057">
      <w:pPr>
        <w:rPr>
          <w:rFonts w:cs="Arial"/>
          <w:lang w:eastAsia="en-GB"/>
        </w:rPr>
      </w:pPr>
      <w:r w:rsidRPr="007E2961">
        <w:rPr>
          <w:rFonts w:cs="Arial"/>
          <w:lang w:eastAsia="en-GB"/>
        </w:rPr>
        <w:t xml:space="preserve">Throughout the year, our staff have reduced the environmental impact of their services whilst improving patient experience. Through conversations with our patients, we have learnt that reducing the carbon footprint of our services is important to them and their long-term health. We believe the way we deliver care to our patients should not harmfully impact the health of future populations and their ability to access outstanding levels of care.  </w:t>
      </w:r>
    </w:p>
    <w:p w14:paraId="28490992" w14:textId="77777777" w:rsidR="003A0174" w:rsidRDefault="00D80057" w:rsidP="00D80057">
      <w:pPr>
        <w:rPr>
          <w:rFonts w:cs="Arial"/>
        </w:rPr>
      </w:pPr>
      <w:r w:rsidRPr="007E2961">
        <w:rPr>
          <w:rFonts w:cs="Arial"/>
          <w:lang w:eastAsia="en-GB"/>
        </w:rPr>
        <w:t>This year we have refined our Green Plan Delivery Plan and prioritised projects for the future that will deliver the greatest carbon reduction and make best use of our resources. The Green Plan is delivered through six workstreams which are led by subject matter experts from each ICS organisation. The workstreams report into the Green Plan Implementation Group which reports into the Green Plan Steering Group of with</w:t>
      </w:r>
      <w:r>
        <w:rPr>
          <w:rFonts w:cs="Arial"/>
          <w:lang w:eastAsia="en-GB"/>
        </w:rPr>
        <w:t xml:space="preserve"> </w:t>
      </w:r>
      <w:r w:rsidRPr="007E2961">
        <w:rPr>
          <w:rFonts w:cs="Arial"/>
          <w:lang w:eastAsia="en-GB"/>
        </w:rPr>
        <w:t xml:space="preserve">ICS Executive Directors sustainability leads as members. </w:t>
      </w:r>
      <w:r w:rsidRPr="007E2961">
        <w:rPr>
          <w:rFonts w:cs="Arial"/>
        </w:rPr>
        <w:t xml:space="preserve">Next year we hope to further embed net zero into organisation processes and spread the </w:t>
      </w:r>
      <w:r w:rsidR="002F6762">
        <w:rPr>
          <w:rFonts w:cs="Arial"/>
        </w:rPr>
        <w:t>innovati</w:t>
      </w:r>
      <w:r w:rsidR="00410C75">
        <w:rPr>
          <w:rFonts w:cs="Arial"/>
        </w:rPr>
        <w:t>on</w:t>
      </w:r>
      <w:r>
        <w:rPr>
          <w:rFonts w:cs="Arial"/>
        </w:rPr>
        <w:t xml:space="preserve"> at</w:t>
      </w:r>
      <w:r w:rsidR="00901D7E">
        <w:rPr>
          <w:rFonts w:cs="Arial"/>
        </w:rPr>
        <w:t xml:space="preserve"> North Bristol Trust</w:t>
      </w:r>
      <w:r>
        <w:rPr>
          <w:rFonts w:cs="Arial"/>
        </w:rPr>
        <w:t xml:space="preserve"> </w:t>
      </w:r>
      <w:r w:rsidR="00901D7E">
        <w:rPr>
          <w:rFonts w:cs="Arial"/>
        </w:rPr>
        <w:t>(</w:t>
      </w:r>
      <w:r>
        <w:rPr>
          <w:rFonts w:cs="Arial"/>
        </w:rPr>
        <w:t>NBT</w:t>
      </w:r>
      <w:r w:rsidR="00901D7E">
        <w:rPr>
          <w:rFonts w:cs="Arial"/>
        </w:rPr>
        <w:t>)</w:t>
      </w:r>
      <w:r w:rsidRPr="007E2961">
        <w:rPr>
          <w:rFonts w:cs="Arial"/>
        </w:rPr>
        <w:t xml:space="preserve"> such as</w:t>
      </w:r>
      <w:r w:rsidR="00901D7E">
        <w:rPr>
          <w:rFonts w:cs="Arial"/>
        </w:rPr>
        <w:t xml:space="preserve"> carbon pricing,</w:t>
      </w:r>
      <w:r w:rsidRPr="007E2961">
        <w:rPr>
          <w:rFonts w:cs="Arial"/>
        </w:rPr>
        <w:t xml:space="preserve"> carbon budgets and headline objectives for divisions that </w:t>
      </w:r>
      <w:r w:rsidRPr="041D96F7">
        <w:rPr>
          <w:rFonts w:cs="Arial"/>
        </w:rPr>
        <w:t>can</w:t>
      </w:r>
      <w:r w:rsidRPr="007E2961">
        <w:rPr>
          <w:rFonts w:cs="Arial"/>
        </w:rPr>
        <w:t xml:space="preserve"> be monitored in Divisional Performance Reviews.</w:t>
      </w:r>
    </w:p>
    <w:p w14:paraId="767B84FA" w14:textId="1500FE9B" w:rsidR="00D80057" w:rsidRPr="007E2961" w:rsidRDefault="003A0174" w:rsidP="003A0174">
      <w:pPr>
        <w:jc w:val="center"/>
        <w:rPr>
          <w:rFonts w:cs="Arial"/>
        </w:rPr>
      </w:pPr>
      <w:r>
        <w:rPr>
          <w:noProof/>
        </w:rPr>
        <w:drawing>
          <wp:inline distT="0" distB="0" distL="0" distR="0" wp14:anchorId="74F6B956" wp14:editId="3EDF0BDE">
            <wp:extent cx="4438650" cy="2444750"/>
            <wp:effectExtent l="0" t="0" r="0" b="12700"/>
            <wp:docPr id="1" name="Chart 1" descr="Pie chart demonstrating the percentage contribution of each carbon emission sector to the overall ICS carbon footprint. ">
              <a:extLst xmlns:a="http://schemas.openxmlformats.org/drawingml/2006/main">
                <a:ext uri="{FF2B5EF4-FFF2-40B4-BE49-F238E27FC236}">
                  <a16:creationId xmlns:a16="http://schemas.microsoft.com/office/drawing/2014/main" id="{805000A0-8CBB-71BC-5FC6-7F2887684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EE5762" w14:textId="77777777" w:rsidR="003A0174" w:rsidRDefault="003A0174" w:rsidP="003A0174">
      <w:pPr>
        <w:pStyle w:val="Caption"/>
        <w:jc w:val="center"/>
      </w:pPr>
      <w:r>
        <w:t>Figure 2 percentage of carbon emissions by workstream</w:t>
      </w:r>
    </w:p>
    <w:p w14:paraId="1252B9C5" w14:textId="3D7B313B" w:rsidR="00D80057" w:rsidRPr="007E2961" w:rsidRDefault="00D80057" w:rsidP="00D80057">
      <w:pPr>
        <w:rPr>
          <w:rFonts w:cs="Arial"/>
          <w:color w:val="0D0D0D"/>
        </w:rPr>
      </w:pPr>
      <w:r w:rsidRPr="007E2961">
        <w:rPr>
          <w:rFonts w:cs="Arial"/>
          <w:color w:val="0D0D0D"/>
          <w:shd w:val="clear" w:color="auto" w:fill="FFFFFF"/>
        </w:rPr>
        <w:t xml:space="preserve">An essential element for achieving net zero </w:t>
      </w:r>
      <w:r>
        <w:rPr>
          <w:rFonts w:cs="Arial"/>
          <w:color w:val="0D0D0D"/>
          <w:shd w:val="clear" w:color="auto" w:fill="FFFFFF"/>
        </w:rPr>
        <w:t xml:space="preserve">will be </w:t>
      </w:r>
      <w:r w:rsidRPr="007E2961">
        <w:rPr>
          <w:rFonts w:cs="Arial"/>
          <w:color w:val="0D0D0D"/>
          <w:shd w:val="clear" w:color="auto" w:fill="FFFFFF"/>
        </w:rPr>
        <w:t xml:space="preserve">to reduce the demand on high cost and high carbon hospital services; realising the co benefits of prevention in improving </w:t>
      </w:r>
      <w:r w:rsidR="00E82692">
        <w:rPr>
          <w:rFonts w:cs="Arial"/>
          <w:color w:val="0D0D0D"/>
          <w:shd w:val="clear" w:color="auto" w:fill="FFFFFF"/>
        </w:rPr>
        <w:t xml:space="preserve">the </w:t>
      </w:r>
      <w:r w:rsidRPr="007E2961">
        <w:rPr>
          <w:rFonts w:cs="Arial"/>
          <w:color w:val="0D0D0D"/>
          <w:shd w:val="clear" w:color="auto" w:fill="FFFFFF"/>
        </w:rPr>
        <w:t>health of our population whilst reducing carbon and costs.</w:t>
      </w:r>
    </w:p>
    <w:p w14:paraId="6EE37A9A" w14:textId="710983AC" w:rsidR="00E82692" w:rsidRPr="00D63E5C" w:rsidRDefault="00EA42D9" w:rsidP="00606DF2">
      <w:pPr>
        <w:pStyle w:val="Heading3"/>
        <w:spacing w:before="340"/>
        <w:rPr>
          <w:rFonts w:eastAsiaTheme="minorHAnsi"/>
          <w:color w:val="002060"/>
        </w:rPr>
      </w:pPr>
      <w:r w:rsidRPr="00D63E5C">
        <w:rPr>
          <w:rFonts w:eastAsiaTheme="minorHAnsi"/>
          <w:color w:val="002060"/>
        </w:rPr>
        <w:t>Net Zero Carbon</w:t>
      </w:r>
      <w:r w:rsidR="003A732F" w:rsidRPr="00D63E5C">
        <w:rPr>
          <w:rFonts w:eastAsiaTheme="minorHAnsi"/>
          <w:color w:val="002060"/>
        </w:rPr>
        <w:t xml:space="preserve"> by</w:t>
      </w:r>
      <w:r w:rsidRPr="00D63E5C">
        <w:rPr>
          <w:rFonts w:eastAsiaTheme="minorHAnsi"/>
          <w:color w:val="002060"/>
        </w:rPr>
        <w:t xml:space="preserve"> 2030</w:t>
      </w:r>
    </w:p>
    <w:p w14:paraId="56F36EA2" w14:textId="77777777" w:rsidR="009F1B64" w:rsidRDefault="009F1B64" w:rsidP="009F1B64">
      <w:r>
        <w:t xml:space="preserve">The carbon reduction trajectory towards net zero of the main delivery plan workstreams is set out below. Our Delivery plan (appendix 1) provides the detail of the carbon reductions that would be delivered by achieving the targets we have identified in our workstreams. To achieve net zero following the Science Based Targets Initiative approach we must reduce </w:t>
      </w:r>
      <w:r>
        <w:lastRenderedPageBreak/>
        <w:t>our emissions by 90% to 39,514 tonnes CO</w:t>
      </w:r>
      <w:r w:rsidRPr="005667BC">
        <w:rPr>
          <w:vertAlign w:val="subscript"/>
        </w:rPr>
        <w:t>2</w:t>
      </w:r>
      <w:r>
        <w:t xml:space="preserve">e. The remaining 10% is to be addressed by offset schemes - investing in projects that result in </w:t>
      </w:r>
      <w:r>
        <w:rPr>
          <w:rFonts w:ascii="Helvetica" w:hAnsi="Helvetica"/>
          <w:color w:val="000000"/>
          <w:spacing w:val="3"/>
          <w:sz w:val="25"/>
          <w:szCs w:val="25"/>
        </w:rPr>
        <w:t>permanent carbon removal and storage to counterbalance the residual 10% of emissions that cannot be eliminated.</w:t>
      </w:r>
    </w:p>
    <w:p w14:paraId="53E812B8" w14:textId="77777777" w:rsidR="009F1B64" w:rsidRDefault="009F1B64" w:rsidP="009F1B64">
      <w:r w:rsidRPr="00490EB1">
        <w:rPr>
          <w:szCs w:val="24"/>
        </w:rPr>
        <w:t>Current actions will deliver carbon reduction of 257</w:t>
      </w:r>
      <w:r>
        <w:rPr>
          <w:szCs w:val="24"/>
        </w:rPr>
        <w:t>k</w:t>
      </w:r>
      <w:r w:rsidRPr="00EB5BEC">
        <w:rPr>
          <w:szCs w:val="24"/>
        </w:rPr>
        <w:t xml:space="preserve"> tonnes CO</w:t>
      </w:r>
      <w:r w:rsidRPr="00EB5BEC">
        <w:rPr>
          <w:szCs w:val="24"/>
          <w:vertAlign w:val="subscript"/>
        </w:rPr>
        <w:t>2</w:t>
      </w:r>
      <w:r w:rsidRPr="00EB5BEC">
        <w:rPr>
          <w:szCs w:val="24"/>
        </w:rPr>
        <w:t>e,</w:t>
      </w:r>
      <w:r>
        <w:rPr>
          <w:szCs w:val="24"/>
        </w:rPr>
        <w:t xml:space="preserve"> but this assumes there is capital funding available to decarbonise our buildings and energy</w:t>
      </w:r>
      <w:r w:rsidRPr="00EB5BEC">
        <w:rPr>
          <w:szCs w:val="24"/>
        </w:rPr>
        <w:t xml:space="preserve">. </w:t>
      </w:r>
      <w:r w:rsidRPr="005E3729">
        <w:t>The</w:t>
      </w:r>
      <w:r w:rsidRPr="00EB5BEC">
        <w:rPr>
          <w:sz w:val="28"/>
          <w:szCs w:val="24"/>
        </w:rPr>
        <w:t xml:space="preserve"> </w:t>
      </w:r>
      <w:r>
        <w:t>gap remaining from our current delivery plan is 98k tonnes CO</w:t>
      </w:r>
      <w:r>
        <w:rPr>
          <w:vertAlign w:val="subscript"/>
        </w:rPr>
        <w:t>2</w:t>
      </w:r>
      <w:r>
        <w:t>e for which we will need to identify further actions and funding. Without funding for buildings and energy decarbonisation the gap increases to 143k tonnes CO</w:t>
      </w:r>
      <w:r w:rsidRPr="005667BC">
        <w:rPr>
          <w:vertAlign w:val="subscript"/>
        </w:rPr>
        <w:t>2</w:t>
      </w:r>
      <w:r>
        <w:t>e.</w:t>
      </w:r>
    </w:p>
    <w:p w14:paraId="4B4568DF" w14:textId="77777777" w:rsidR="009F1B64" w:rsidRDefault="009F1B64" w:rsidP="009F1B64">
      <w:pPr>
        <w:jc w:val="center"/>
      </w:pPr>
      <w:r>
        <w:rPr>
          <w:noProof/>
        </w:rPr>
        <w:drawing>
          <wp:inline distT="0" distB="0" distL="0" distR="0" wp14:anchorId="2C471C2C" wp14:editId="21A07E60">
            <wp:extent cx="6375400" cy="3213100"/>
            <wp:effectExtent l="0" t="0" r="6350" b="6350"/>
            <wp:docPr id="24" name="Chart 24" descr="The carbon trajectory if all identified actions are followed for each carbon emission sector from 2023/24 to 2029/30 benchmarked against trajectory of unfunded buildings and energy projects. ">
              <a:extLst xmlns:a="http://schemas.openxmlformats.org/drawingml/2006/main">
                <a:ext uri="{FF2B5EF4-FFF2-40B4-BE49-F238E27FC236}">
                  <a16:creationId xmlns:a16="http://schemas.microsoft.com/office/drawing/2014/main" id="{BD9B980D-642C-404C-9F93-78F025A37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D50655" w14:textId="5F9D4944" w:rsidR="009F1B64" w:rsidRPr="00AC4EEF" w:rsidRDefault="009F1B64" w:rsidP="009F1B64">
      <w:pPr>
        <w:pStyle w:val="Caption"/>
        <w:jc w:val="center"/>
        <w:rPr>
          <w:rFonts w:ascii="Arial" w:eastAsia="Times New Roman" w:hAnsi="Arial" w:cs="Arial"/>
          <w:sz w:val="24"/>
          <w:szCs w:val="24"/>
          <w:lang w:eastAsia="en-GB"/>
        </w:rPr>
      </w:pPr>
      <w:r>
        <w:t xml:space="preserve">Figure </w:t>
      </w:r>
      <w:r w:rsidR="009E52F9">
        <w:t>3</w:t>
      </w:r>
      <w:r>
        <w:t xml:space="preserve"> Carbon trajectory with current identified actions</w:t>
      </w:r>
    </w:p>
    <w:tbl>
      <w:tblPr>
        <w:tblStyle w:val="TableGrid"/>
        <w:tblW w:w="0" w:type="auto"/>
        <w:tblLook w:val="04A0" w:firstRow="1" w:lastRow="0" w:firstColumn="1" w:lastColumn="0" w:noHBand="0" w:noVBand="1"/>
      </w:tblPr>
      <w:tblGrid>
        <w:gridCol w:w="4333"/>
        <w:gridCol w:w="1356"/>
        <w:gridCol w:w="2386"/>
        <w:gridCol w:w="1664"/>
      </w:tblGrid>
      <w:tr w:rsidR="00342005" w14:paraId="7D2AB7E7" w14:textId="77777777" w:rsidTr="00F34B1C">
        <w:tc>
          <w:tcPr>
            <w:tcW w:w="4333" w:type="dxa"/>
          </w:tcPr>
          <w:p w14:paraId="0F696E69" w14:textId="77777777" w:rsidR="00342005" w:rsidRPr="009673D7" w:rsidRDefault="00342005" w:rsidP="003F1AA8">
            <w:pPr>
              <w:spacing w:after="0"/>
              <w:rPr>
                <w:sz w:val="22"/>
              </w:rPr>
            </w:pPr>
          </w:p>
        </w:tc>
        <w:tc>
          <w:tcPr>
            <w:tcW w:w="1356" w:type="dxa"/>
          </w:tcPr>
          <w:p w14:paraId="5ABD5BF4" w14:textId="77777777" w:rsidR="00342005" w:rsidRPr="009673D7" w:rsidRDefault="00342005" w:rsidP="003F1AA8">
            <w:pPr>
              <w:spacing w:after="0"/>
              <w:rPr>
                <w:sz w:val="22"/>
              </w:rPr>
            </w:pPr>
            <w:r w:rsidRPr="009673D7">
              <w:rPr>
                <w:sz w:val="22"/>
              </w:rPr>
              <w:t>Tonnes CO</w:t>
            </w:r>
            <w:r w:rsidRPr="009673D7">
              <w:rPr>
                <w:sz w:val="22"/>
                <w:vertAlign w:val="subscript"/>
              </w:rPr>
              <w:t>2</w:t>
            </w:r>
            <w:r w:rsidRPr="009673D7">
              <w:rPr>
                <w:sz w:val="22"/>
              </w:rPr>
              <w:t>e</w:t>
            </w:r>
          </w:p>
        </w:tc>
        <w:tc>
          <w:tcPr>
            <w:tcW w:w="2386" w:type="dxa"/>
          </w:tcPr>
          <w:p w14:paraId="2D7D871E" w14:textId="77777777" w:rsidR="00342005" w:rsidRPr="009673D7" w:rsidRDefault="00342005" w:rsidP="003F1AA8">
            <w:pPr>
              <w:spacing w:after="0"/>
              <w:rPr>
                <w:sz w:val="22"/>
              </w:rPr>
            </w:pPr>
            <w:r w:rsidRPr="009673D7">
              <w:rPr>
                <w:sz w:val="22"/>
              </w:rPr>
              <w:t>Variance from carbon trajectory to meet target 90% emissions reduction (unfunded)</w:t>
            </w:r>
          </w:p>
        </w:tc>
        <w:tc>
          <w:tcPr>
            <w:tcW w:w="1664" w:type="dxa"/>
          </w:tcPr>
          <w:p w14:paraId="43B55DD1" w14:textId="77777777" w:rsidR="00342005" w:rsidRPr="009673D7" w:rsidRDefault="00342005" w:rsidP="003F1AA8">
            <w:pPr>
              <w:spacing w:after="0"/>
              <w:jc w:val="center"/>
              <w:rPr>
                <w:sz w:val="22"/>
              </w:rPr>
            </w:pPr>
            <w:r w:rsidRPr="009673D7">
              <w:rPr>
                <w:sz w:val="22"/>
              </w:rPr>
              <w:t>Carbon footprint goal</w:t>
            </w:r>
          </w:p>
          <w:p w14:paraId="1FDD058D" w14:textId="77777777" w:rsidR="00342005" w:rsidRPr="009673D7" w:rsidRDefault="00342005" w:rsidP="003F1AA8">
            <w:pPr>
              <w:spacing w:after="0"/>
              <w:jc w:val="center"/>
              <w:rPr>
                <w:sz w:val="22"/>
              </w:rPr>
            </w:pPr>
            <w:r w:rsidRPr="009673D7">
              <w:rPr>
                <w:sz w:val="22"/>
              </w:rPr>
              <w:t>10% offset for net zero carbon</w:t>
            </w:r>
          </w:p>
        </w:tc>
      </w:tr>
      <w:tr w:rsidR="00342005" w14:paraId="4CD50C14" w14:textId="77777777" w:rsidTr="00F34B1C">
        <w:tc>
          <w:tcPr>
            <w:tcW w:w="4333" w:type="dxa"/>
          </w:tcPr>
          <w:p w14:paraId="6ADE1645" w14:textId="77777777" w:rsidR="00342005" w:rsidRPr="009673D7" w:rsidRDefault="00342005" w:rsidP="003F1AA8">
            <w:pPr>
              <w:spacing w:after="0"/>
              <w:rPr>
                <w:sz w:val="22"/>
              </w:rPr>
            </w:pPr>
            <w:r w:rsidRPr="009673D7">
              <w:rPr>
                <w:sz w:val="22"/>
              </w:rPr>
              <w:t>Current carbon footprint</w:t>
            </w:r>
          </w:p>
        </w:tc>
        <w:tc>
          <w:tcPr>
            <w:tcW w:w="1356" w:type="dxa"/>
          </w:tcPr>
          <w:p w14:paraId="650950EC" w14:textId="77777777" w:rsidR="00342005" w:rsidRPr="009673D7" w:rsidRDefault="00342005" w:rsidP="003F1AA8">
            <w:pPr>
              <w:spacing w:after="0"/>
              <w:jc w:val="center"/>
              <w:rPr>
                <w:sz w:val="22"/>
              </w:rPr>
            </w:pPr>
            <w:r w:rsidRPr="009673D7">
              <w:rPr>
                <w:sz w:val="22"/>
              </w:rPr>
              <w:t>395,140</w:t>
            </w:r>
          </w:p>
        </w:tc>
        <w:tc>
          <w:tcPr>
            <w:tcW w:w="2386" w:type="dxa"/>
          </w:tcPr>
          <w:p w14:paraId="31725151" w14:textId="77777777" w:rsidR="00342005" w:rsidRPr="009673D7" w:rsidRDefault="00342005" w:rsidP="003F1AA8">
            <w:pPr>
              <w:spacing w:after="0"/>
              <w:jc w:val="center"/>
              <w:rPr>
                <w:sz w:val="22"/>
              </w:rPr>
            </w:pPr>
          </w:p>
        </w:tc>
        <w:tc>
          <w:tcPr>
            <w:tcW w:w="1664" w:type="dxa"/>
          </w:tcPr>
          <w:p w14:paraId="09A65344" w14:textId="77777777" w:rsidR="00342005" w:rsidRPr="009673D7" w:rsidRDefault="00342005" w:rsidP="003F1AA8">
            <w:pPr>
              <w:spacing w:after="0"/>
              <w:jc w:val="center"/>
              <w:rPr>
                <w:sz w:val="22"/>
              </w:rPr>
            </w:pPr>
          </w:p>
        </w:tc>
      </w:tr>
      <w:tr w:rsidR="00342005" w14:paraId="1EDC3978" w14:textId="77777777" w:rsidTr="00F34B1C">
        <w:tc>
          <w:tcPr>
            <w:tcW w:w="4333" w:type="dxa"/>
          </w:tcPr>
          <w:p w14:paraId="243D33D5" w14:textId="77777777" w:rsidR="00342005" w:rsidRPr="009673D7" w:rsidRDefault="00342005" w:rsidP="003F1AA8">
            <w:pPr>
              <w:spacing w:after="0"/>
              <w:rPr>
                <w:sz w:val="22"/>
              </w:rPr>
            </w:pPr>
            <w:r w:rsidRPr="009673D7">
              <w:rPr>
                <w:sz w:val="22"/>
              </w:rPr>
              <w:t>Carbon reduction required to meet NZC by 2030 (@90%)</w:t>
            </w:r>
          </w:p>
        </w:tc>
        <w:tc>
          <w:tcPr>
            <w:tcW w:w="1356" w:type="dxa"/>
          </w:tcPr>
          <w:p w14:paraId="5AFA40AD" w14:textId="77777777" w:rsidR="00342005" w:rsidRPr="009673D7" w:rsidRDefault="00342005" w:rsidP="003F1AA8">
            <w:pPr>
              <w:spacing w:after="0"/>
              <w:jc w:val="center"/>
              <w:rPr>
                <w:sz w:val="22"/>
              </w:rPr>
            </w:pPr>
            <w:r w:rsidRPr="009673D7">
              <w:rPr>
                <w:sz w:val="22"/>
              </w:rPr>
              <w:t>Minus 355,626</w:t>
            </w:r>
          </w:p>
        </w:tc>
        <w:tc>
          <w:tcPr>
            <w:tcW w:w="2386" w:type="dxa"/>
          </w:tcPr>
          <w:p w14:paraId="4D9025EE" w14:textId="77777777" w:rsidR="00342005" w:rsidRPr="009673D7" w:rsidRDefault="00342005" w:rsidP="003F1AA8">
            <w:pPr>
              <w:spacing w:after="0"/>
              <w:jc w:val="center"/>
              <w:rPr>
                <w:sz w:val="22"/>
              </w:rPr>
            </w:pPr>
            <w:r w:rsidRPr="009673D7">
              <w:rPr>
                <w:sz w:val="22"/>
              </w:rPr>
              <w:t>0</w:t>
            </w:r>
          </w:p>
        </w:tc>
        <w:tc>
          <w:tcPr>
            <w:tcW w:w="1664" w:type="dxa"/>
          </w:tcPr>
          <w:p w14:paraId="2E0C09AF" w14:textId="77777777" w:rsidR="00342005" w:rsidRPr="009673D7" w:rsidRDefault="00342005" w:rsidP="003F1AA8">
            <w:pPr>
              <w:spacing w:after="0"/>
              <w:jc w:val="center"/>
              <w:rPr>
                <w:sz w:val="22"/>
              </w:rPr>
            </w:pPr>
            <w:r w:rsidRPr="009673D7">
              <w:rPr>
                <w:sz w:val="22"/>
              </w:rPr>
              <w:t>39,514</w:t>
            </w:r>
          </w:p>
        </w:tc>
      </w:tr>
      <w:tr w:rsidR="00342005" w14:paraId="771182FD" w14:textId="77777777" w:rsidTr="00F34B1C">
        <w:tc>
          <w:tcPr>
            <w:tcW w:w="4333" w:type="dxa"/>
          </w:tcPr>
          <w:p w14:paraId="01958198" w14:textId="77777777" w:rsidR="00342005" w:rsidRPr="009673D7" w:rsidRDefault="00342005" w:rsidP="003F1AA8">
            <w:pPr>
              <w:spacing w:after="0"/>
              <w:rPr>
                <w:sz w:val="22"/>
              </w:rPr>
            </w:pPr>
            <w:r w:rsidRPr="009673D7">
              <w:rPr>
                <w:sz w:val="22"/>
              </w:rPr>
              <w:t>Scenario 1 - Delivery Plan actions to achieve goal (assuming energy decarbonisation funded)</w:t>
            </w:r>
          </w:p>
        </w:tc>
        <w:tc>
          <w:tcPr>
            <w:tcW w:w="1356" w:type="dxa"/>
          </w:tcPr>
          <w:p w14:paraId="5F996541" w14:textId="77777777" w:rsidR="00342005" w:rsidRPr="009673D7" w:rsidRDefault="00342005" w:rsidP="003F1AA8">
            <w:pPr>
              <w:spacing w:after="0"/>
              <w:jc w:val="center"/>
              <w:rPr>
                <w:sz w:val="22"/>
              </w:rPr>
            </w:pPr>
            <w:r w:rsidRPr="009673D7">
              <w:rPr>
                <w:sz w:val="22"/>
              </w:rPr>
              <w:t>Minus 257,353</w:t>
            </w:r>
          </w:p>
        </w:tc>
        <w:tc>
          <w:tcPr>
            <w:tcW w:w="2386" w:type="dxa"/>
          </w:tcPr>
          <w:p w14:paraId="1ACE61EF" w14:textId="77777777" w:rsidR="00342005" w:rsidRPr="009673D7" w:rsidRDefault="00342005" w:rsidP="003F1AA8">
            <w:pPr>
              <w:spacing w:after="0"/>
              <w:jc w:val="center"/>
              <w:rPr>
                <w:sz w:val="22"/>
              </w:rPr>
            </w:pPr>
            <w:r w:rsidRPr="009673D7">
              <w:rPr>
                <w:sz w:val="22"/>
              </w:rPr>
              <w:t>98,273</w:t>
            </w:r>
          </w:p>
        </w:tc>
        <w:tc>
          <w:tcPr>
            <w:tcW w:w="1664" w:type="dxa"/>
          </w:tcPr>
          <w:p w14:paraId="7A8FBB4D" w14:textId="77777777" w:rsidR="00342005" w:rsidRPr="009673D7" w:rsidRDefault="00342005" w:rsidP="003F1AA8">
            <w:pPr>
              <w:spacing w:after="0"/>
              <w:jc w:val="center"/>
              <w:rPr>
                <w:sz w:val="22"/>
              </w:rPr>
            </w:pPr>
            <w:r w:rsidRPr="009673D7">
              <w:rPr>
                <w:sz w:val="22"/>
              </w:rPr>
              <w:t>39,514</w:t>
            </w:r>
          </w:p>
        </w:tc>
      </w:tr>
      <w:tr w:rsidR="00342005" w14:paraId="4247B51C" w14:textId="77777777" w:rsidTr="00F34B1C">
        <w:tc>
          <w:tcPr>
            <w:tcW w:w="4333" w:type="dxa"/>
          </w:tcPr>
          <w:p w14:paraId="75DB143A" w14:textId="77777777" w:rsidR="00342005" w:rsidRPr="009673D7" w:rsidRDefault="00342005" w:rsidP="003F1AA8">
            <w:pPr>
              <w:spacing w:after="0"/>
              <w:rPr>
                <w:sz w:val="22"/>
              </w:rPr>
            </w:pPr>
            <w:r w:rsidRPr="009673D7">
              <w:rPr>
                <w:sz w:val="22"/>
              </w:rPr>
              <w:t>Scenario 2 - Delivery Plan actions to achieve goal assuming no funding available)</w:t>
            </w:r>
          </w:p>
        </w:tc>
        <w:tc>
          <w:tcPr>
            <w:tcW w:w="1356" w:type="dxa"/>
          </w:tcPr>
          <w:p w14:paraId="70A3D9B2" w14:textId="77777777" w:rsidR="00342005" w:rsidRPr="009673D7" w:rsidRDefault="00342005" w:rsidP="003F1AA8">
            <w:pPr>
              <w:spacing w:after="0"/>
              <w:jc w:val="center"/>
              <w:rPr>
                <w:sz w:val="22"/>
              </w:rPr>
            </w:pPr>
            <w:r w:rsidRPr="009673D7">
              <w:rPr>
                <w:sz w:val="22"/>
              </w:rPr>
              <w:t>Minus 212,387</w:t>
            </w:r>
          </w:p>
        </w:tc>
        <w:tc>
          <w:tcPr>
            <w:tcW w:w="2386" w:type="dxa"/>
          </w:tcPr>
          <w:p w14:paraId="58E37FC4" w14:textId="77777777" w:rsidR="00342005" w:rsidRPr="009673D7" w:rsidRDefault="00342005" w:rsidP="003F1AA8">
            <w:pPr>
              <w:spacing w:after="0"/>
              <w:jc w:val="center"/>
              <w:rPr>
                <w:sz w:val="22"/>
              </w:rPr>
            </w:pPr>
            <w:r w:rsidRPr="009673D7">
              <w:rPr>
                <w:sz w:val="22"/>
              </w:rPr>
              <w:t>143,239</w:t>
            </w:r>
          </w:p>
        </w:tc>
        <w:tc>
          <w:tcPr>
            <w:tcW w:w="1664" w:type="dxa"/>
          </w:tcPr>
          <w:p w14:paraId="2AA97705" w14:textId="77777777" w:rsidR="00342005" w:rsidRPr="009673D7" w:rsidRDefault="00342005" w:rsidP="003F1AA8">
            <w:pPr>
              <w:spacing w:after="0"/>
              <w:jc w:val="center"/>
              <w:rPr>
                <w:sz w:val="22"/>
              </w:rPr>
            </w:pPr>
            <w:r w:rsidRPr="009673D7">
              <w:rPr>
                <w:sz w:val="22"/>
              </w:rPr>
              <w:t>39,514</w:t>
            </w:r>
          </w:p>
        </w:tc>
      </w:tr>
    </w:tbl>
    <w:p w14:paraId="7FC668CF" w14:textId="77777777" w:rsidR="00342005" w:rsidRDefault="00342005" w:rsidP="009F1B64">
      <w:pPr>
        <w:spacing w:before="100" w:beforeAutospacing="1" w:after="100" w:afterAutospacing="1" w:line="240" w:lineRule="auto"/>
        <w:contextualSpacing/>
        <w:rPr>
          <w:rFonts w:cs="Arial"/>
        </w:rPr>
      </w:pPr>
    </w:p>
    <w:p w14:paraId="4760C41E" w14:textId="53FBD926" w:rsidR="009F1B64" w:rsidRDefault="009F1B64" w:rsidP="009F1B64">
      <w:pPr>
        <w:spacing w:before="100" w:beforeAutospacing="1" w:after="100" w:afterAutospacing="1" w:line="240" w:lineRule="auto"/>
        <w:contextualSpacing/>
        <w:rPr>
          <w:rFonts w:cs="Arial"/>
        </w:rPr>
      </w:pPr>
      <w:r>
        <w:rPr>
          <w:rFonts w:cs="Arial"/>
        </w:rPr>
        <w:t xml:space="preserve">We have identified routes to net zero for our buildings and energy, and waste which are areas under our direct control but subject to achieving funding. Transport reductions are less in our control and dependent on working with partners across the ICP. Similarly, a substantial amount of our procurement is dependent on national approaches such as supplier carbon reduction plans and we are more limited in where we can influence them. Medicines requires further identification of reduction opportunities in reducing medicines </w:t>
      </w:r>
      <w:r>
        <w:rPr>
          <w:rFonts w:cs="Arial"/>
        </w:rPr>
        <w:lastRenderedPageBreak/>
        <w:t>waste and targeting high impact areas such as inhalers, but as with wider procurement achieving net zero will be reliant on improving population health to reduce demand for pharmaceuticals and medical equipment.</w:t>
      </w:r>
    </w:p>
    <w:p w14:paraId="6650998C" w14:textId="77777777" w:rsidR="009F1B64" w:rsidRDefault="009F1B64" w:rsidP="009F1B64">
      <w:pPr>
        <w:spacing w:before="100" w:beforeAutospacing="1" w:after="100" w:afterAutospacing="1" w:line="240" w:lineRule="auto"/>
        <w:contextualSpacing/>
        <w:rPr>
          <w:rFonts w:cs="Arial"/>
        </w:rPr>
      </w:pPr>
    </w:p>
    <w:p w14:paraId="3D1F8A38" w14:textId="77777777" w:rsidR="009F1B64" w:rsidRDefault="009F1B64" w:rsidP="009F1B64">
      <w:pPr>
        <w:spacing w:before="100" w:beforeAutospacing="1" w:after="100" w:afterAutospacing="1" w:line="240" w:lineRule="auto"/>
        <w:contextualSpacing/>
        <w:rPr>
          <w:rFonts w:cs="Arial"/>
        </w:rPr>
      </w:pPr>
      <w:r>
        <w:rPr>
          <w:rFonts w:cs="Arial"/>
        </w:rPr>
        <w:t>Our delivery plan (appendix1) sets out the detailed deliverables against the targets for each workstream area and by organisation. We have added RAG rated progress updates against targets and expected carbon reduction trajectories.</w:t>
      </w:r>
    </w:p>
    <w:p w14:paraId="05CE3E43" w14:textId="77777777" w:rsidR="003F4654" w:rsidRDefault="003F4654" w:rsidP="003F4654">
      <w:pPr>
        <w:spacing w:before="100" w:beforeAutospacing="1" w:after="100" w:afterAutospacing="1" w:line="240" w:lineRule="auto"/>
        <w:contextualSpacing/>
        <w:rPr>
          <w:rFonts w:cs="Arial"/>
        </w:rPr>
      </w:pPr>
    </w:p>
    <w:p w14:paraId="6C774C39" w14:textId="0B5FA791" w:rsidR="003217D1" w:rsidRDefault="00E6107E" w:rsidP="003217D1">
      <w:pPr>
        <w:spacing w:after="0" w:line="288" w:lineRule="auto"/>
      </w:pPr>
      <w:r>
        <w:t xml:space="preserve">Our ICS carbon footprint includes the emissions </w:t>
      </w:r>
      <w:r w:rsidR="00FF2364">
        <w:t>of</w:t>
      </w:r>
      <w:r w:rsidR="00720345">
        <w:t>:</w:t>
      </w:r>
      <w:r w:rsidR="00FF2364">
        <w:t xml:space="preserve"> </w:t>
      </w:r>
    </w:p>
    <w:p w14:paraId="0C949E2F" w14:textId="77777777" w:rsidR="002B45D0" w:rsidRDefault="002B45D0" w:rsidP="003217D1">
      <w:pPr>
        <w:spacing w:after="0" w:line="288" w:lineRule="auto"/>
        <w:rPr>
          <w:i/>
        </w:rPr>
      </w:pPr>
    </w:p>
    <w:p w14:paraId="7E21199A" w14:textId="0FA01D66" w:rsidR="003217D1" w:rsidRPr="00327C75" w:rsidRDefault="003217D1" w:rsidP="003217D1">
      <w:pPr>
        <w:spacing w:after="0" w:line="288" w:lineRule="auto"/>
        <w:rPr>
          <w:i/>
        </w:rPr>
      </w:pPr>
      <w:r w:rsidRPr="00327C75">
        <w:rPr>
          <w:i/>
        </w:rPr>
        <w:t>Integrated Care Board:</w:t>
      </w:r>
    </w:p>
    <w:p w14:paraId="56E024A7" w14:textId="77777777" w:rsidR="003217D1" w:rsidRPr="00327C75" w:rsidRDefault="003217D1" w:rsidP="003217D1">
      <w:pPr>
        <w:pStyle w:val="ListParagraph"/>
        <w:numPr>
          <w:ilvl w:val="0"/>
          <w:numId w:val="18"/>
        </w:numPr>
        <w:spacing w:after="0" w:line="288" w:lineRule="auto"/>
        <w:ind w:left="720"/>
      </w:pPr>
      <w:r w:rsidRPr="00327C75">
        <w:t xml:space="preserve">NHS Bristol, North </w:t>
      </w:r>
      <w:proofErr w:type="gramStart"/>
      <w:r w:rsidRPr="00327C75">
        <w:t>Somerset</w:t>
      </w:r>
      <w:proofErr w:type="gramEnd"/>
      <w:r w:rsidRPr="00327C75">
        <w:t xml:space="preserve"> and South Gloucestershire Integrated Care Board (BNSSG ICB)</w:t>
      </w:r>
    </w:p>
    <w:p w14:paraId="6FEAF04F" w14:textId="77777777" w:rsidR="003217D1" w:rsidRPr="00D00C68" w:rsidRDefault="003217D1" w:rsidP="003217D1">
      <w:pPr>
        <w:spacing w:after="0" w:line="288" w:lineRule="auto"/>
        <w:rPr>
          <w:b/>
          <w:bCs/>
          <w:i/>
        </w:rPr>
      </w:pPr>
      <w:r w:rsidRPr="00327C75">
        <w:rPr>
          <w:i/>
        </w:rPr>
        <w:t>Healthcare Providers</w:t>
      </w:r>
      <w:r w:rsidRPr="00D00C68">
        <w:rPr>
          <w:b/>
          <w:bCs/>
          <w:i/>
        </w:rPr>
        <w:t>:</w:t>
      </w:r>
    </w:p>
    <w:p w14:paraId="2311F825" w14:textId="77777777" w:rsidR="003217D1" w:rsidRDefault="003217D1" w:rsidP="003217D1">
      <w:pPr>
        <w:pStyle w:val="ListParagraph"/>
        <w:numPr>
          <w:ilvl w:val="0"/>
          <w:numId w:val="18"/>
        </w:numPr>
        <w:spacing w:after="0" w:line="288" w:lineRule="auto"/>
        <w:ind w:left="720"/>
      </w:pPr>
      <w:r w:rsidRPr="00D00C68">
        <w:t>Avon &amp; Wiltshire Mental Health Partnership NHS Trust (AWP)</w:t>
      </w:r>
    </w:p>
    <w:p w14:paraId="54E12EB3" w14:textId="3D812965" w:rsidR="003E0EC2" w:rsidRPr="00D00C68" w:rsidRDefault="003E0EC2" w:rsidP="003217D1">
      <w:pPr>
        <w:pStyle w:val="ListParagraph"/>
        <w:numPr>
          <w:ilvl w:val="0"/>
          <w:numId w:val="18"/>
        </w:numPr>
        <w:spacing w:after="0" w:line="288" w:lineRule="auto"/>
        <w:ind w:left="720"/>
      </w:pPr>
      <w:r>
        <w:t>General Practice providers</w:t>
      </w:r>
    </w:p>
    <w:p w14:paraId="03695739" w14:textId="77777777" w:rsidR="003217D1" w:rsidRPr="00D00C68" w:rsidRDefault="003217D1" w:rsidP="003217D1">
      <w:pPr>
        <w:pStyle w:val="ListParagraph"/>
        <w:numPr>
          <w:ilvl w:val="0"/>
          <w:numId w:val="18"/>
        </w:numPr>
        <w:spacing w:after="0" w:line="288" w:lineRule="auto"/>
        <w:ind w:left="720"/>
      </w:pPr>
      <w:r w:rsidRPr="00D00C68">
        <w:t>North Bristol NHS Trust (NBT)</w:t>
      </w:r>
    </w:p>
    <w:p w14:paraId="7B43C686" w14:textId="77777777" w:rsidR="003217D1" w:rsidRPr="00D00C68" w:rsidRDefault="003217D1" w:rsidP="003217D1">
      <w:pPr>
        <w:pStyle w:val="ListParagraph"/>
        <w:numPr>
          <w:ilvl w:val="0"/>
          <w:numId w:val="18"/>
        </w:numPr>
        <w:spacing w:after="0" w:line="288" w:lineRule="auto"/>
        <w:ind w:left="720"/>
      </w:pPr>
      <w:r w:rsidRPr="00D00C68">
        <w:t>Sirona care and health (Sirona)</w:t>
      </w:r>
    </w:p>
    <w:p w14:paraId="7223F1F2" w14:textId="77777777" w:rsidR="003217D1" w:rsidRPr="00D00C68" w:rsidRDefault="003217D1" w:rsidP="00C43C22">
      <w:pPr>
        <w:pStyle w:val="ListParagraph"/>
        <w:numPr>
          <w:ilvl w:val="0"/>
          <w:numId w:val="18"/>
        </w:numPr>
        <w:spacing w:after="0" w:line="288" w:lineRule="auto"/>
        <w:ind w:left="720"/>
      </w:pPr>
      <w:r w:rsidRPr="00D00C68">
        <w:t>Southwestern Ambulance Service NHS Foundation Trust (SWASFT)</w:t>
      </w:r>
    </w:p>
    <w:p w14:paraId="6805C713" w14:textId="77777777" w:rsidR="003217D1" w:rsidRDefault="003217D1" w:rsidP="00C43C22">
      <w:pPr>
        <w:pStyle w:val="ListParagraph"/>
        <w:numPr>
          <w:ilvl w:val="0"/>
          <w:numId w:val="18"/>
        </w:numPr>
        <w:spacing w:after="0" w:line="288" w:lineRule="auto"/>
        <w:ind w:left="720"/>
      </w:pPr>
      <w:r w:rsidRPr="00D00C68">
        <w:t>University Hospitals Bristol and Weston NHS Foundation Trust (UHBW)</w:t>
      </w:r>
    </w:p>
    <w:p w14:paraId="1D369B08" w14:textId="77777777" w:rsidR="00A03FA9" w:rsidRDefault="00A03FA9" w:rsidP="00C43C22">
      <w:pPr>
        <w:spacing w:after="0"/>
      </w:pPr>
    </w:p>
    <w:p w14:paraId="71903BFF" w14:textId="373C3E81" w:rsidR="00E6107E" w:rsidRDefault="00762CEA" w:rsidP="00EA42D9">
      <w:r>
        <w:t>The carbon footprint includes</w:t>
      </w:r>
      <w:r w:rsidR="00744845">
        <w:t xml:space="preserve"> scopes </w:t>
      </w:r>
      <w:r>
        <w:t>1,</w:t>
      </w:r>
      <w:r w:rsidR="00BB161D">
        <w:t xml:space="preserve"> </w:t>
      </w:r>
      <w:r>
        <w:t xml:space="preserve">2 and 3 as described above. </w:t>
      </w:r>
      <w:r w:rsidR="0053569B">
        <w:t>A</w:t>
      </w:r>
      <w:r w:rsidR="00A625A1">
        <w:t xml:space="preserve">nnual </w:t>
      </w:r>
      <w:r>
        <w:t>data</w:t>
      </w:r>
      <w:r w:rsidR="00222B19">
        <w:t xml:space="preserve"> for 202</w:t>
      </w:r>
      <w:r w:rsidR="000E5C38">
        <w:t>3/24</w:t>
      </w:r>
      <w:r>
        <w:t xml:space="preserve"> </w:t>
      </w:r>
      <w:r w:rsidR="00A625A1">
        <w:t>across</w:t>
      </w:r>
      <w:r>
        <w:t xml:space="preserve"> all scopes is only available for the Acute hospital Trusts. </w:t>
      </w:r>
      <w:proofErr w:type="gramStart"/>
      <w:r w:rsidR="00A743B2">
        <w:t>However</w:t>
      </w:r>
      <w:proofErr w:type="gramEnd"/>
      <w:r w:rsidR="00A743B2">
        <w:t xml:space="preserve"> m</w:t>
      </w:r>
      <w:r w:rsidR="00D31FDE">
        <w:t xml:space="preserve">ost of our carbon footprint is associated with the acute sector </w:t>
      </w:r>
      <w:r w:rsidR="00D11A64">
        <w:t>so we are able to use this a representative of our system.</w:t>
      </w:r>
    </w:p>
    <w:p w14:paraId="259FD003" w14:textId="3C89D81A" w:rsidR="00EA4DE3" w:rsidRDefault="00EA4DE3" w:rsidP="00EA42D9">
      <w:r>
        <w:rPr>
          <w:noProof/>
        </w:rPr>
        <w:drawing>
          <wp:inline distT="0" distB="0" distL="0" distR="0" wp14:anchorId="0F3430FE" wp14:editId="4B41ADEA">
            <wp:extent cx="5911850" cy="3098800"/>
            <wp:effectExtent l="0" t="0" r="12700" b="6350"/>
            <wp:docPr id="8" name="Chart 8" descr="Hybrid bar and line graph showing the carbon footprint of the ICS split out into scope 1, 2 and 3 carbon emissions for each financial year from 2019-2024 benchmarked against the trajectory for the One City Net Zero Goal to 2030, the NHS net zero goal to 2045 and the Climate Change Act goal to 2050. ">
              <a:extLst xmlns:a="http://schemas.openxmlformats.org/drawingml/2006/main">
                <a:ext uri="{FF2B5EF4-FFF2-40B4-BE49-F238E27FC236}">
                  <a16:creationId xmlns:a16="http://schemas.microsoft.com/office/drawing/2014/main" id="{205DB048-486F-FD19-85C9-AFC37495E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3AC651" w14:textId="069ED654" w:rsidR="00E95EF5" w:rsidRPr="003B5AFE" w:rsidRDefault="00E95EF5" w:rsidP="00E95EF5">
      <w:pPr>
        <w:pStyle w:val="Caption"/>
        <w:rPr>
          <w:rFonts w:ascii="Arial" w:hAnsi="Arial" w:cs="Arial"/>
          <w:sz w:val="24"/>
          <w:szCs w:val="24"/>
        </w:rPr>
      </w:pPr>
      <w:r>
        <w:t xml:space="preserve">Figure </w:t>
      </w:r>
      <w:r w:rsidR="009E52F9">
        <w:t>4</w:t>
      </w:r>
      <w:r>
        <w:t xml:space="preserve"> North Bristol and University Hospitals Bristol and Weston NHS Trusts’ total carbon emissions for financial years 2019/20 to 2023/24 compared with the carbon emissions trajectory required to achieve net zero carbon by 2030 as well as the trajectories to achieve the NHS Carbon Footprint Plus goal and the Climate Change Act 2008 target. </w:t>
      </w:r>
    </w:p>
    <w:p w14:paraId="0A189265" w14:textId="77777777" w:rsidR="00D96967" w:rsidRDefault="00D96967" w:rsidP="002C03CE">
      <w:pPr>
        <w:spacing w:before="100" w:beforeAutospacing="1" w:after="100" w:afterAutospacing="1" w:line="240" w:lineRule="auto"/>
        <w:contextualSpacing/>
        <w:rPr>
          <w:rFonts w:cs="Arial"/>
        </w:rPr>
      </w:pPr>
    </w:p>
    <w:p w14:paraId="7FD6FB78" w14:textId="7DD5B1F2" w:rsidR="000E0697" w:rsidRDefault="00A10C3F" w:rsidP="002C03CE">
      <w:pPr>
        <w:spacing w:before="100" w:beforeAutospacing="1" w:after="100" w:afterAutospacing="1" w:line="240" w:lineRule="auto"/>
        <w:contextualSpacing/>
        <w:rPr>
          <w:rFonts w:cs="Arial"/>
        </w:rPr>
      </w:pPr>
      <w:r>
        <w:rPr>
          <w:rFonts w:cs="Arial"/>
        </w:rPr>
        <w:t xml:space="preserve">Our current approach to </w:t>
      </w:r>
      <w:r w:rsidR="00873FD4">
        <w:rPr>
          <w:rFonts w:cs="Arial"/>
        </w:rPr>
        <w:t>calculating our procurement carbon footprint</w:t>
      </w:r>
      <w:r>
        <w:rPr>
          <w:rFonts w:cs="Arial"/>
        </w:rPr>
        <w:t xml:space="preserve"> is based on spend. This spend</w:t>
      </w:r>
      <w:r w:rsidRPr="080B5378">
        <w:rPr>
          <w:rFonts w:cs="Arial"/>
        </w:rPr>
        <w:t>-</w:t>
      </w:r>
      <w:r>
        <w:rPr>
          <w:rFonts w:cs="Arial"/>
        </w:rPr>
        <w:t xml:space="preserve">based approach </w:t>
      </w:r>
      <w:r w:rsidR="00873FD4">
        <w:rPr>
          <w:rFonts w:cs="Arial"/>
        </w:rPr>
        <w:t>is flawed a</w:t>
      </w:r>
      <w:r>
        <w:rPr>
          <w:rFonts w:cs="Arial"/>
        </w:rPr>
        <w:t>s it</w:t>
      </w:r>
      <w:r w:rsidR="00873FD4">
        <w:rPr>
          <w:rFonts w:cs="Arial"/>
        </w:rPr>
        <w:t xml:space="preserve"> doesn’t reflect where we are reducing carbon in our supply chain. The procurement footprint is </w:t>
      </w:r>
      <w:r w:rsidR="000E0697">
        <w:rPr>
          <w:rFonts w:cs="Arial"/>
        </w:rPr>
        <w:t xml:space="preserve">particularly </w:t>
      </w:r>
      <w:r w:rsidR="00873FD4">
        <w:rPr>
          <w:rFonts w:cs="Arial"/>
        </w:rPr>
        <w:t>distorted by the increased spend during covid and high inflation</w:t>
      </w:r>
      <w:r w:rsidR="000E0697">
        <w:rPr>
          <w:rFonts w:cs="Arial"/>
        </w:rPr>
        <w:t>.</w:t>
      </w:r>
    </w:p>
    <w:p w14:paraId="68E5BB95" w14:textId="77777777" w:rsidR="000E0697" w:rsidRDefault="000E0697" w:rsidP="002C03CE">
      <w:pPr>
        <w:spacing w:before="100" w:beforeAutospacing="1" w:after="100" w:afterAutospacing="1" w:line="240" w:lineRule="auto"/>
        <w:contextualSpacing/>
        <w:rPr>
          <w:rFonts w:cs="Arial"/>
        </w:rPr>
      </w:pPr>
    </w:p>
    <w:p w14:paraId="664ABBDF" w14:textId="757A1E35" w:rsidR="002C03CE" w:rsidRDefault="002C03CE" w:rsidP="002C03CE">
      <w:pPr>
        <w:spacing w:before="100" w:beforeAutospacing="1" w:after="100" w:afterAutospacing="1" w:line="240" w:lineRule="auto"/>
        <w:contextualSpacing/>
        <w:rPr>
          <w:rFonts w:cs="Arial"/>
        </w:rPr>
      </w:pPr>
      <w:r>
        <w:rPr>
          <w:rFonts w:cs="Arial"/>
        </w:rPr>
        <w:t>Despite the emissions we have most control</w:t>
      </w:r>
      <w:r w:rsidRPr="00DD54EA">
        <w:rPr>
          <w:rFonts w:cs="Arial"/>
        </w:rPr>
        <w:t xml:space="preserve"> </w:t>
      </w:r>
      <w:r>
        <w:rPr>
          <w:rFonts w:cs="Arial"/>
        </w:rPr>
        <w:t>for</w:t>
      </w:r>
      <w:r w:rsidRPr="00DD54EA">
        <w:rPr>
          <w:rFonts w:cs="Arial"/>
        </w:rPr>
        <w:t>, energy, water and waste show</w:t>
      </w:r>
      <w:r>
        <w:rPr>
          <w:rFonts w:cs="Arial"/>
        </w:rPr>
        <w:t>ing</w:t>
      </w:r>
      <w:r w:rsidRPr="00DD54EA">
        <w:rPr>
          <w:rFonts w:cs="Arial"/>
        </w:rPr>
        <w:t xml:space="preserve"> an overall </w:t>
      </w:r>
      <w:r>
        <w:rPr>
          <w:rFonts w:cs="Arial"/>
        </w:rPr>
        <w:t>4</w:t>
      </w:r>
      <w:r w:rsidRPr="00DD54EA">
        <w:rPr>
          <w:rFonts w:cs="Arial"/>
        </w:rPr>
        <w:t xml:space="preserve">% </w:t>
      </w:r>
      <w:r>
        <w:rPr>
          <w:rFonts w:cs="Arial"/>
        </w:rPr>
        <w:t xml:space="preserve">carbon </w:t>
      </w:r>
      <w:r w:rsidRPr="00DD54EA">
        <w:rPr>
          <w:rFonts w:cs="Arial"/>
        </w:rPr>
        <w:t>reduction in</w:t>
      </w:r>
      <w:r>
        <w:rPr>
          <w:rFonts w:cs="Arial"/>
        </w:rPr>
        <w:t xml:space="preserve"> </w:t>
      </w:r>
      <w:r w:rsidRPr="00DD54EA">
        <w:rPr>
          <w:rFonts w:cs="Arial"/>
        </w:rPr>
        <w:t>2023-24 compared with 2022-23</w:t>
      </w:r>
      <w:r>
        <w:rPr>
          <w:rFonts w:cs="Arial"/>
        </w:rPr>
        <w:t xml:space="preserve"> We have seen a 21% growth impact from increased spend driven by inflation and activity (including investment in buildings and diagnostic equipment). </w:t>
      </w:r>
    </w:p>
    <w:p w14:paraId="5C1638CB" w14:textId="77777777" w:rsidR="002C03CE" w:rsidRDefault="002C03CE" w:rsidP="002C03CE">
      <w:pPr>
        <w:spacing w:before="100" w:beforeAutospacing="1" w:after="100" w:afterAutospacing="1" w:line="240" w:lineRule="auto"/>
        <w:contextualSpacing/>
        <w:rPr>
          <w:rFonts w:cs="Arial"/>
        </w:rPr>
      </w:pPr>
    </w:p>
    <w:p w14:paraId="49793C3E" w14:textId="2BF04015" w:rsidR="002C03CE" w:rsidRDefault="002C03CE" w:rsidP="002C03CE">
      <w:pPr>
        <w:spacing w:before="100" w:beforeAutospacing="1" w:after="100" w:afterAutospacing="1" w:line="240" w:lineRule="auto"/>
        <w:contextualSpacing/>
        <w:rPr>
          <w:rFonts w:cs="Arial"/>
        </w:rPr>
      </w:pPr>
      <w:r w:rsidRPr="00DD54EA">
        <w:rPr>
          <w:rFonts w:cs="Arial"/>
        </w:rPr>
        <w:t>The carbon emission</w:t>
      </w:r>
      <w:r>
        <w:rPr>
          <w:rFonts w:cs="Arial"/>
        </w:rPr>
        <w:t>s</w:t>
      </w:r>
      <w:r w:rsidRPr="00DD54EA">
        <w:rPr>
          <w:rFonts w:cs="Arial"/>
        </w:rPr>
        <w:t xml:space="preserve"> reported in the table below </w:t>
      </w:r>
      <w:r>
        <w:rPr>
          <w:rFonts w:cs="Arial"/>
        </w:rPr>
        <w:t xml:space="preserve">cover the two acute hospital </w:t>
      </w:r>
      <w:r w:rsidRPr="00826B9E">
        <w:rPr>
          <w:rFonts w:cs="Arial"/>
        </w:rPr>
        <w:t>trusts</w:t>
      </w:r>
      <w:r w:rsidR="004A5A8B" w:rsidRPr="00826B9E">
        <w:rPr>
          <w:rFonts w:cs="Arial"/>
        </w:rPr>
        <w:t xml:space="preserve"> that we have</w:t>
      </w:r>
      <w:r w:rsidR="000E5C38">
        <w:rPr>
          <w:rFonts w:cs="Arial"/>
        </w:rPr>
        <w:t xml:space="preserve"> 2023/24</w:t>
      </w:r>
      <w:r w:rsidR="004A5A8B" w:rsidRPr="00826B9E">
        <w:rPr>
          <w:rFonts w:cs="Arial"/>
        </w:rPr>
        <w:t xml:space="preserve"> </w:t>
      </w:r>
      <w:r w:rsidR="00826B9E" w:rsidRPr="00826B9E">
        <w:rPr>
          <w:rFonts w:cs="Arial"/>
        </w:rPr>
        <w:t>annual data for</w:t>
      </w:r>
      <w:r w:rsidR="0012159F">
        <w:rPr>
          <w:rFonts w:cs="Arial"/>
        </w:rPr>
        <w:t>.</w:t>
      </w:r>
    </w:p>
    <w:p w14:paraId="1450AB93" w14:textId="77777777" w:rsidR="00D96967" w:rsidRDefault="00D96967" w:rsidP="002C03CE">
      <w:pPr>
        <w:spacing w:before="100" w:beforeAutospacing="1" w:after="100" w:afterAutospacing="1" w:line="240" w:lineRule="auto"/>
        <w:contextualSpacing/>
        <w:rPr>
          <w:rFonts w:cs="Arial"/>
        </w:rPr>
      </w:pPr>
    </w:p>
    <w:p w14:paraId="3439E735" w14:textId="77777777" w:rsidR="00D96967" w:rsidRPr="00826B9E" w:rsidRDefault="00D96967" w:rsidP="002C03CE">
      <w:pPr>
        <w:spacing w:before="100" w:beforeAutospacing="1" w:after="100" w:afterAutospacing="1" w:line="240" w:lineRule="auto"/>
        <w:contextualSpacing/>
        <w:rPr>
          <w:rFonts w:cs="Arial"/>
        </w:rPr>
      </w:pPr>
    </w:p>
    <w:tbl>
      <w:tblPr>
        <w:tblW w:w="11522" w:type="dxa"/>
        <w:jc w:val="center"/>
        <w:tblLook w:val="04A0" w:firstRow="1" w:lastRow="0" w:firstColumn="1" w:lastColumn="0" w:noHBand="0" w:noVBand="1"/>
      </w:tblPr>
      <w:tblGrid>
        <w:gridCol w:w="1500"/>
        <w:gridCol w:w="3720"/>
        <w:gridCol w:w="960"/>
        <w:gridCol w:w="1431"/>
        <w:gridCol w:w="1431"/>
        <w:gridCol w:w="1049"/>
        <w:gridCol w:w="1431"/>
      </w:tblGrid>
      <w:tr w:rsidR="005F43B2" w:rsidRPr="00E123FE" w14:paraId="4AE96BAF" w14:textId="77777777" w:rsidTr="00D96967">
        <w:trPr>
          <w:trHeight w:val="322"/>
          <w:jc w:val="center"/>
        </w:trPr>
        <w:tc>
          <w:tcPr>
            <w:tcW w:w="5220" w:type="dxa"/>
            <w:gridSpan w:val="2"/>
            <w:tcBorders>
              <w:top w:val="single" w:sz="8" w:space="0" w:color="auto"/>
              <w:left w:val="single" w:sz="8" w:space="0" w:color="auto"/>
              <w:bottom w:val="single" w:sz="8" w:space="0" w:color="auto"/>
              <w:right w:val="single" w:sz="8" w:space="0" w:color="auto"/>
            </w:tcBorders>
            <w:shd w:val="clear" w:color="auto" w:fill="005EB8"/>
            <w:vAlign w:val="center"/>
            <w:hideMark/>
          </w:tcPr>
          <w:p w14:paraId="14F5AE27" w14:textId="77777777" w:rsidR="005F43B2" w:rsidRPr="00E123FE"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Emissions Source</w:t>
            </w:r>
          </w:p>
        </w:tc>
        <w:tc>
          <w:tcPr>
            <w:tcW w:w="960" w:type="dxa"/>
            <w:tcBorders>
              <w:top w:val="single" w:sz="8" w:space="0" w:color="auto"/>
              <w:left w:val="nil"/>
              <w:bottom w:val="single" w:sz="8" w:space="0" w:color="auto"/>
              <w:right w:val="single" w:sz="8" w:space="0" w:color="auto"/>
            </w:tcBorders>
            <w:shd w:val="clear" w:color="auto" w:fill="005EB8"/>
            <w:vAlign w:val="center"/>
            <w:hideMark/>
          </w:tcPr>
          <w:p w14:paraId="3026BCA0" w14:textId="77777777" w:rsidR="005F43B2" w:rsidRPr="00E123FE"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Unit</w:t>
            </w:r>
          </w:p>
        </w:tc>
        <w:tc>
          <w:tcPr>
            <w:tcW w:w="1431" w:type="dxa"/>
            <w:tcBorders>
              <w:top w:val="single" w:sz="8" w:space="0" w:color="auto"/>
              <w:left w:val="nil"/>
              <w:bottom w:val="single" w:sz="8" w:space="0" w:color="auto"/>
              <w:right w:val="single" w:sz="8" w:space="0" w:color="auto"/>
            </w:tcBorders>
            <w:shd w:val="clear" w:color="auto" w:fill="005EB8"/>
            <w:vAlign w:val="center"/>
            <w:hideMark/>
          </w:tcPr>
          <w:p w14:paraId="3D00AADB" w14:textId="77777777" w:rsidR="005F43B2"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2021/22</w:t>
            </w:r>
          </w:p>
          <w:p w14:paraId="591F1147" w14:textId="70BA4683" w:rsidR="002A194E" w:rsidRPr="00E123FE" w:rsidRDefault="002A194E" w:rsidP="007B44BE">
            <w:pPr>
              <w:spacing w:after="0" w:line="240" w:lineRule="auto"/>
              <w:rPr>
                <w:rFonts w:ascii="Calibri" w:eastAsia="Times New Roman" w:hAnsi="Calibri" w:cs="Calibri"/>
                <w:b/>
                <w:bCs/>
                <w:color w:val="FFFFFF"/>
                <w:szCs w:val="24"/>
                <w:lang w:eastAsia="en-GB"/>
              </w:rPr>
            </w:pPr>
            <w:r>
              <w:rPr>
                <w:rFonts w:ascii="Calibri" w:eastAsia="Times New Roman" w:hAnsi="Calibri" w:cs="Calibri"/>
                <w:b/>
                <w:bCs/>
                <w:color w:val="FFFFFF"/>
                <w:szCs w:val="24"/>
                <w:lang w:eastAsia="en-GB"/>
              </w:rPr>
              <w:t>Actual</w:t>
            </w:r>
          </w:p>
        </w:tc>
        <w:tc>
          <w:tcPr>
            <w:tcW w:w="1431" w:type="dxa"/>
            <w:tcBorders>
              <w:top w:val="single" w:sz="8" w:space="0" w:color="auto"/>
              <w:left w:val="nil"/>
              <w:bottom w:val="single" w:sz="8" w:space="0" w:color="auto"/>
              <w:right w:val="single" w:sz="8" w:space="0" w:color="auto"/>
            </w:tcBorders>
            <w:shd w:val="clear" w:color="auto" w:fill="005EB8"/>
            <w:vAlign w:val="center"/>
            <w:hideMark/>
          </w:tcPr>
          <w:p w14:paraId="29B3B137" w14:textId="77777777" w:rsidR="005F43B2"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2022/23</w:t>
            </w:r>
          </w:p>
          <w:p w14:paraId="17E6B1C1" w14:textId="386C9A2E" w:rsidR="002A194E" w:rsidRPr="00E123FE" w:rsidRDefault="002A194E" w:rsidP="007B44BE">
            <w:pPr>
              <w:spacing w:after="0" w:line="240" w:lineRule="auto"/>
              <w:rPr>
                <w:rFonts w:ascii="Calibri" w:eastAsia="Times New Roman" w:hAnsi="Calibri" w:cs="Calibri"/>
                <w:b/>
                <w:bCs/>
                <w:color w:val="FFFFFF"/>
                <w:szCs w:val="24"/>
                <w:lang w:eastAsia="en-GB"/>
              </w:rPr>
            </w:pPr>
            <w:r>
              <w:rPr>
                <w:rFonts w:ascii="Calibri" w:eastAsia="Times New Roman" w:hAnsi="Calibri" w:cs="Calibri"/>
                <w:b/>
                <w:bCs/>
                <w:color w:val="FFFFFF"/>
                <w:szCs w:val="24"/>
                <w:lang w:eastAsia="en-GB"/>
              </w:rPr>
              <w:t>Actual</w:t>
            </w:r>
          </w:p>
        </w:tc>
        <w:tc>
          <w:tcPr>
            <w:tcW w:w="1049" w:type="dxa"/>
            <w:tcBorders>
              <w:top w:val="single" w:sz="8" w:space="0" w:color="auto"/>
              <w:left w:val="nil"/>
              <w:bottom w:val="single" w:sz="8" w:space="0" w:color="auto"/>
              <w:right w:val="nil"/>
            </w:tcBorders>
            <w:shd w:val="clear" w:color="auto" w:fill="005EB8"/>
          </w:tcPr>
          <w:p w14:paraId="0CDD35E9" w14:textId="77777777" w:rsidR="00644049" w:rsidRDefault="009D7913" w:rsidP="007B44BE">
            <w:pPr>
              <w:spacing w:after="0" w:line="240" w:lineRule="auto"/>
              <w:rPr>
                <w:rFonts w:ascii="Calibri" w:eastAsia="Times New Roman" w:hAnsi="Calibri" w:cs="Calibri"/>
                <w:b/>
                <w:bCs/>
                <w:color w:val="FFFFFF"/>
                <w:szCs w:val="24"/>
                <w:lang w:eastAsia="en-GB"/>
              </w:rPr>
            </w:pPr>
            <w:r>
              <w:rPr>
                <w:rFonts w:ascii="Calibri" w:eastAsia="Times New Roman" w:hAnsi="Calibri" w:cs="Calibri"/>
                <w:b/>
                <w:bCs/>
                <w:color w:val="FFFFFF"/>
                <w:szCs w:val="24"/>
                <w:lang w:eastAsia="en-GB"/>
              </w:rPr>
              <w:t>2023</w:t>
            </w:r>
            <w:r w:rsidR="00644049">
              <w:rPr>
                <w:rFonts w:ascii="Calibri" w:eastAsia="Times New Roman" w:hAnsi="Calibri" w:cs="Calibri"/>
                <w:b/>
                <w:bCs/>
                <w:color w:val="FFFFFF"/>
                <w:szCs w:val="24"/>
                <w:lang w:eastAsia="en-GB"/>
              </w:rPr>
              <w:t>/24</w:t>
            </w:r>
          </w:p>
          <w:p w14:paraId="3881D254" w14:textId="71B0208A" w:rsidR="005F43B2" w:rsidRPr="00E123FE" w:rsidRDefault="005F43B2" w:rsidP="007B44BE">
            <w:pPr>
              <w:spacing w:after="0" w:line="240" w:lineRule="auto"/>
              <w:rPr>
                <w:rFonts w:ascii="Calibri" w:eastAsia="Times New Roman" w:hAnsi="Calibri" w:cs="Calibri"/>
                <w:b/>
                <w:bCs/>
                <w:color w:val="FFFFFF"/>
                <w:szCs w:val="24"/>
                <w:lang w:eastAsia="en-GB"/>
              </w:rPr>
            </w:pPr>
            <w:r>
              <w:rPr>
                <w:rFonts w:ascii="Calibri" w:eastAsia="Times New Roman" w:hAnsi="Calibri" w:cs="Calibri"/>
                <w:b/>
                <w:bCs/>
                <w:color w:val="FFFFFF"/>
                <w:szCs w:val="24"/>
                <w:lang w:eastAsia="en-GB"/>
              </w:rPr>
              <w:t>Target</w:t>
            </w:r>
          </w:p>
        </w:tc>
        <w:tc>
          <w:tcPr>
            <w:tcW w:w="1431" w:type="dxa"/>
            <w:tcBorders>
              <w:top w:val="single" w:sz="8" w:space="0" w:color="auto"/>
              <w:left w:val="nil"/>
              <w:bottom w:val="single" w:sz="8" w:space="0" w:color="auto"/>
              <w:right w:val="single" w:sz="8" w:space="0" w:color="auto"/>
            </w:tcBorders>
            <w:shd w:val="clear" w:color="auto" w:fill="005EB8"/>
            <w:vAlign w:val="center"/>
            <w:hideMark/>
          </w:tcPr>
          <w:p w14:paraId="083DEE3E" w14:textId="575C6DA7" w:rsidR="005F43B2" w:rsidRPr="00E123FE"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2023/24</w:t>
            </w:r>
            <w:r>
              <w:rPr>
                <w:rFonts w:ascii="Calibri" w:eastAsia="Times New Roman" w:hAnsi="Calibri" w:cs="Calibri"/>
                <w:b/>
                <w:bCs/>
                <w:color w:val="FFFFFF"/>
                <w:szCs w:val="24"/>
                <w:lang w:eastAsia="en-GB"/>
              </w:rPr>
              <w:t xml:space="preserve"> Actual</w:t>
            </w:r>
          </w:p>
        </w:tc>
      </w:tr>
      <w:tr w:rsidR="005F43B2" w:rsidRPr="00E123FE" w14:paraId="1778AB82" w14:textId="77777777" w:rsidTr="00D96967">
        <w:trPr>
          <w:trHeight w:val="31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7D4E406"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1C1F63" w:themeColor="text1"/>
                <w:szCs w:val="24"/>
                <w:lang w:eastAsia="en-GB"/>
              </w:rPr>
              <w:t>Scope 1 (direct emissions)</w:t>
            </w:r>
          </w:p>
        </w:tc>
        <w:tc>
          <w:tcPr>
            <w:tcW w:w="960" w:type="dxa"/>
            <w:tcBorders>
              <w:top w:val="nil"/>
              <w:left w:val="nil"/>
              <w:bottom w:val="single" w:sz="8" w:space="0" w:color="auto"/>
              <w:right w:val="single" w:sz="8" w:space="0" w:color="auto"/>
            </w:tcBorders>
            <w:shd w:val="clear" w:color="auto" w:fill="auto"/>
            <w:noWrap/>
            <w:vAlign w:val="center"/>
            <w:hideMark/>
          </w:tcPr>
          <w:p w14:paraId="3D3CB703"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tCO</w:t>
            </w:r>
            <w:r w:rsidRPr="00E123FE">
              <w:rPr>
                <w:rFonts w:ascii="Calibri" w:eastAsia="Times New Roman" w:hAnsi="Calibri" w:cs="Calibri"/>
                <w:color w:val="000000"/>
                <w:szCs w:val="24"/>
                <w:vertAlign w:val="subscript"/>
                <w:lang w:eastAsia="en-GB"/>
              </w:rPr>
              <w:t>2</w:t>
            </w:r>
            <w:r w:rsidRPr="00E123FE">
              <w:rPr>
                <w:rFonts w:ascii="Calibri" w:eastAsia="Times New Roman" w:hAnsi="Calibri" w:cs="Calibri"/>
                <w:color w:val="000000"/>
                <w:szCs w:val="24"/>
                <w:lang w:eastAsia="en-GB"/>
              </w:rPr>
              <w:t>e</w:t>
            </w:r>
          </w:p>
        </w:tc>
        <w:tc>
          <w:tcPr>
            <w:tcW w:w="1431" w:type="dxa"/>
            <w:tcBorders>
              <w:top w:val="nil"/>
              <w:left w:val="nil"/>
              <w:bottom w:val="single" w:sz="8" w:space="0" w:color="auto"/>
              <w:right w:val="single" w:sz="8" w:space="0" w:color="auto"/>
            </w:tcBorders>
            <w:shd w:val="clear" w:color="auto" w:fill="auto"/>
            <w:noWrap/>
            <w:vAlign w:val="center"/>
            <w:hideMark/>
          </w:tcPr>
          <w:p w14:paraId="5D45B93E"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34,341</w:t>
            </w:r>
          </w:p>
        </w:tc>
        <w:tc>
          <w:tcPr>
            <w:tcW w:w="1431" w:type="dxa"/>
            <w:tcBorders>
              <w:top w:val="nil"/>
              <w:left w:val="nil"/>
              <w:bottom w:val="single" w:sz="8" w:space="0" w:color="auto"/>
              <w:right w:val="single" w:sz="8" w:space="0" w:color="auto"/>
            </w:tcBorders>
            <w:shd w:val="clear" w:color="auto" w:fill="auto"/>
            <w:noWrap/>
            <w:vAlign w:val="center"/>
            <w:hideMark/>
          </w:tcPr>
          <w:p w14:paraId="56E0607B"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31,876</w:t>
            </w:r>
          </w:p>
        </w:tc>
        <w:tc>
          <w:tcPr>
            <w:tcW w:w="1049" w:type="dxa"/>
            <w:tcBorders>
              <w:top w:val="single" w:sz="8" w:space="0" w:color="auto"/>
              <w:left w:val="nil"/>
              <w:bottom w:val="single" w:sz="8" w:space="0" w:color="auto"/>
              <w:right w:val="single" w:sz="4" w:space="0" w:color="auto"/>
            </w:tcBorders>
          </w:tcPr>
          <w:p w14:paraId="2559A597" w14:textId="5B36E353" w:rsidR="005F43B2" w:rsidRPr="00E123FE" w:rsidRDefault="00B02D47" w:rsidP="007B44BE">
            <w:pPr>
              <w:spacing w:after="0" w:line="240" w:lineRule="auto"/>
              <w:jc w:val="right"/>
              <w:rPr>
                <w:rFonts w:ascii="Calibri" w:eastAsia="Times New Roman" w:hAnsi="Calibri" w:cs="Calibri"/>
                <w:color w:val="000000"/>
                <w:szCs w:val="24"/>
                <w:lang w:eastAsia="en-GB"/>
              </w:rPr>
            </w:pPr>
            <w:r>
              <w:rPr>
                <w:rFonts w:ascii="Calibri" w:eastAsia="Times New Roman" w:hAnsi="Calibri" w:cs="Calibri"/>
                <w:color w:val="000000"/>
                <w:szCs w:val="24"/>
                <w:lang w:eastAsia="en-GB"/>
              </w:rPr>
              <w:t>14</w:t>
            </w:r>
            <w:r w:rsidR="00766C09">
              <w:rPr>
                <w:rFonts w:ascii="Calibri" w:eastAsia="Times New Roman" w:hAnsi="Calibri" w:cs="Calibri"/>
                <w:color w:val="000000"/>
                <w:szCs w:val="24"/>
                <w:lang w:eastAsia="en-GB"/>
              </w:rPr>
              <w:t>,</w:t>
            </w:r>
            <w:r>
              <w:rPr>
                <w:rFonts w:ascii="Calibri" w:eastAsia="Times New Roman" w:hAnsi="Calibri" w:cs="Calibri"/>
                <w:color w:val="000000"/>
                <w:szCs w:val="24"/>
                <w:lang w:eastAsia="en-GB"/>
              </w:rPr>
              <w:t>202</w:t>
            </w:r>
          </w:p>
        </w:tc>
        <w:tc>
          <w:tcPr>
            <w:tcW w:w="1431" w:type="dxa"/>
            <w:tcBorders>
              <w:top w:val="nil"/>
              <w:left w:val="single" w:sz="4" w:space="0" w:color="auto"/>
              <w:bottom w:val="single" w:sz="8" w:space="0" w:color="auto"/>
              <w:right w:val="single" w:sz="8" w:space="0" w:color="auto"/>
            </w:tcBorders>
            <w:shd w:val="clear" w:color="auto" w:fill="auto"/>
            <w:noWrap/>
            <w:vAlign w:val="center"/>
            <w:hideMark/>
          </w:tcPr>
          <w:p w14:paraId="78E22A2B" w14:textId="4B3AAF08"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30,348</w:t>
            </w:r>
          </w:p>
        </w:tc>
      </w:tr>
      <w:tr w:rsidR="005F43B2" w:rsidRPr="00E123FE" w14:paraId="3B57B6B5" w14:textId="77777777" w:rsidTr="00D96967">
        <w:trPr>
          <w:trHeight w:val="31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B5865AF" w14:textId="7226CA8F"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1C1F63" w:themeColor="text1"/>
                <w:szCs w:val="24"/>
                <w:lang w:eastAsia="en-GB"/>
              </w:rPr>
              <w:t>Scope 2 (indirect emissions from electricity)</w:t>
            </w:r>
          </w:p>
        </w:tc>
        <w:tc>
          <w:tcPr>
            <w:tcW w:w="960" w:type="dxa"/>
            <w:tcBorders>
              <w:top w:val="nil"/>
              <w:left w:val="nil"/>
              <w:bottom w:val="single" w:sz="8" w:space="0" w:color="auto"/>
              <w:right w:val="single" w:sz="8" w:space="0" w:color="auto"/>
            </w:tcBorders>
            <w:shd w:val="clear" w:color="auto" w:fill="auto"/>
            <w:noWrap/>
            <w:vAlign w:val="center"/>
            <w:hideMark/>
          </w:tcPr>
          <w:p w14:paraId="59419AAD"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tCO</w:t>
            </w:r>
            <w:r w:rsidRPr="00E123FE">
              <w:rPr>
                <w:rFonts w:ascii="Calibri" w:eastAsia="Times New Roman" w:hAnsi="Calibri" w:cs="Calibri"/>
                <w:color w:val="000000"/>
                <w:szCs w:val="24"/>
                <w:vertAlign w:val="subscript"/>
                <w:lang w:eastAsia="en-GB"/>
              </w:rPr>
              <w:t>2</w:t>
            </w:r>
            <w:r w:rsidRPr="00E123FE">
              <w:rPr>
                <w:rFonts w:ascii="Calibri" w:eastAsia="Times New Roman" w:hAnsi="Calibri" w:cs="Calibri"/>
                <w:color w:val="000000"/>
                <w:szCs w:val="24"/>
                <w:lang w:eastAsia="en-GB"/>
              </w:rPr>
              <w:t>e</w:t>
            </w:r>
          </w:p>
        </w:tc>
        <w:tc>
          <w:tcPr>
            <w:tcW w:w="1431" w:type="dxa"/>
            <w:tcBorders>
              <w:top w:val="nil"/>
              <w:left w:val="nil"/>
              <w:bottom w:val="single" w:sz="8" w:space="0" w:color="auto"/>
              <w:right w:val="single" w:sz="8" w:space="0" w:color="auto"/>
            </w:tcBorders>
            <w:shd w:val="clear" w:color="auto" w:fill="auto"/>
            <w:noWrap/>
            <w:vAlign w:val="center"/>
            <w:hideMark/>
          </w:tcPr>
          <w:p w14:paraId="44D7D037"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10,162</w:t>
            </w:r>
          </w:p>
        </w:tc>
        <w:tc>
          <w:tcPr>
            <w:tcW w:w="1431" w:type="dxa"/>
            <w:tcBorders>
              <w:top w:val="nil"/>
              <w:left w:val="nil"/>
              <w:bottom w:val="single" w:sz="8" w:space="0" w:color="auto"/>
              <w:right w:val="single" w:sz="8" w:space="0" w:color="auto"/>
            </w:tcBorders>
            <w:shd w:val="clear" w:color="auto" w:fill="auto"/>
            <w:noWrap/>
            <w:vAlign w:val="center"/>
            <w:hideMark/>
          </w:tcPr>
          <w:p w14:paraId="265BA101"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8,913</w:t>
            </w:r>
          </w:p>
        </w:tc>
        <w:tc>
          <w:tcPr>
            <w:tcW w:w="1049" w:type="dxa"/>
            <w:tcBorders>
              <w:top w:val="single" w:sz="8" w:space="0" w:color="auto"/>
              <w:left w:val="nil"/>
              <w:bottom w:val="single" w:sz="8" w:space="0" w:color="auto"/>
              <w:right w:val="single" w:sz="4" w:space="0" w:color="auto"/>
            </w:tcBorders>
          </w:tcPr>
          <w:p w14:paraId="722A1148" w14:textId="63BBC6FC" w:rsidR="005F43B2" w:rsidRPr="00E123FE" w:rsidRDefault="00BC51A0" w:rsidP="001E6908">
            <w:pPr>
              <w:spacing w:after="0" w:line="240" w:lineRule="auto"/>
              <w:jc w:val="right"/>
              <w:rPr>
                <w:rFonts w:ascii="Calibri" w:eastAsia="Times New Roman" w:hAnsi="Calibri" w:cs="Calibri"/>
                <w:color w:val="000000"/>
                <w:szCs w:val="24"/>
                <w:lang w:eastAsia="en-GB"/>
              </w:rPr>
            </w:pPr>
            <w:r>
              <w:rPr>
                <w:rFonts w:ascii="Calibri" w:eastAsia="Times New Roman" w:hAnsi="Calibri" w:cs="Calibri"/>
                <w:color w:val="000000"/>
                <w:szCs w:val="24"/>
                <w:lang w:eastAsia="en-GB"/>
              </w:rPr>
              <w:t>3</w:t>
            </w:r>
            <w:r w:rsidR="00766C09">
              <w:rPr>
                <w:rFonts w:ascii="Calibri" w:eastAsia="Times New Roman" w:hAnsi="Calibri" w:cs="Calibri"/>
                <w:color w:val="000000"/>
                <w:szCs w:val="24"/>
                <w:lang w:eastAsia="en-GB"/>
              </w:rPr>
              <w:t>,</w:t>
            </w:r>
            <w:r>
              <w:rPr>
                <w:rFonts w:ascii="Calibri" w:eastAsia="Times New Roman" w:hAnsi="Calibri" w:cs="Calibri"/>
                <w:color w:val="000000"/>
                <w:szCs w:val="24"/>
                <w:lang w:eastAsia="en-GB"/>
              </w:rPr>
              <w:t>97</w:t>
            </w:r>
            <w:r w:rsidR="00352DEF">
              <w:rPr>
                <w:rFonts w:ascii="Calibri" w:eastAsia="Times New Roman" w:hAnsi="Calibri" w:cs="Calibri"/>
                <w:color w:val="000000"/>
                <w:szCs w:val="24"/>
                <w:lang w:eastAsia="en-GB"/>
              </w:rPr>
              <w:t>1</w:t>
            </w:r>
          </w:p>
        </w:tc>
        <w:tc>
          <w:tcPr>
            <w:tcW w:w="1431" w:type="dxa"/>
            <w:tcBorders>
              <w:top w:val="nil"/>
              <w:left w:val="single" w:sz="4" w:space="0" w:color="auto"/>
              <w:bottom w:val="single" w:sz="8" w:space="0" w:color="auto"/>
              <w:right w:val="single" w:sz="8" w:space="0" w:color="auto"/>
            </w:tcBorders>
            <w:shd w:val="clear" w:color="auto" w:fill="auto"/>
            <w:noWrap/>
            <w:vAlign w:val="center"/>
            <w:hideMark/>
          </w:tcPr>
          <w:p w14:paraId="243C60BB" w14:textId="35680239"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8,985</w:t>
            </w:r>
          </w:p>
        </w:tc>
      </w:tr>
      <w:tr w:rsidR="005F43B2" w:rsidRPr="00E123FE" w14:paraId="0044CFE5" w14:textId="77777777" w:rsidTr="00D96967">
        <w:trPr>
          <w:trHeight w:val="31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F091040"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1C1F63" w:themeColor="text1"/>
                <w:szCs w:val="24"/>
                <w:lang w:eastAsia="en-GB"/>
              </w:rPr>
              <w:t>Scope 3 (indirect emissions)</w:t>
            </w:r>
          </w:p>
        </w:tc>
        <w:tc>
          <w:tcPr>
            <w:tcW w:w="960" w:type="dxa"/>
            <w:tcBorders>
              <w:top w:val="nil"/>
              <w:left w:val="nil"/>
              <w:bottom w:val="single" w:sz="8" w:space="0" w:color="auto"/>
              <w:right w:val="single" w:sz="8" w:space="0" w:color="auto"/>
            </w:tcBorders>
            <w:shd w:val="clear" w:color="auto" w:fill="auto"/>
            <w:noWrap/>
            <w:vAlign w:val="center"/>
            <w:hideMark/>
          </w:tcPr>
          <w:p w14:paraId="09C14091"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tCO</w:t>
            </w:r>
            <w:r w:rsidRPr="00E123FE">
              <w:rPr>
                <w:rFonts w:ascii="Calibri" w:eastAsia="Times New Roman" w:hAnsi="Calibri" w:cs="Calibri"/>
                <w:color w:val="000000"/>
                <w:szCs w:val="24"/>
                <w:vertAlign w:val="subscript"/>
                <w:lang w:eastAsia="en-GB"/>
              </w:rPr>
              <w:t>2</w:t>
            </w:r>
            <w:r w:rsidRPr="00E123FE">
              <w:rPr>
                <w:rFonts w:ascii="Calibri" w:eastAsia="Times New Roman" w:hAnsi="Calibri" w:cs="Calibri"/>
                <w:color w:val="000000"/>
                <w:szCs w:val="24"/>
                <w:lang w:eastAsia="en-GB"/>
              </w:rPr>
              <w:t>e</w:t>
            </w:r>
          </w:p>
        </w:tc>
        <w:tc>
          <w:tcPr>
            <w:tcW w:w="1431" w:type="dxa"/>
            <w:tcBorders>
              <w:top w:val="nil"/>
              <w:left w:val="nil"/>
              <w:bottom w:val="single" w:sz="8" w:space="0" w:color="auto"/>
              <w:right w:val="single" w:sz="8" w:space="0" w:color="auto"/>
            </w:tcBorders>
            <w:shd w:val="clear" w:color="auto" w:fill="auto"/>
            <w:noWrap/>
            <w:vAlign w:val="center"/>
            <w:hideMark/>
          </w:tcPr>
          <w:p w14:paraId="55D6C1EE"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240,542</w:t>
            </w:r>
          </w:p>
        </w:tc>
        <w:tc>
          <w:tcPr>
            <w:tcW w:w="1431" w:type="dxa"/>
            <w:tcBorders>
              <w:top w:val="nil"/>
              <w:left w:val="nil"/>
              <w:bottom w:val="single" w:sz="8" w:space="0" w:color="auto"/>
              <w:right w:val="single" w:sz="8" w:space="0" w:color="auto"/>
            </w:tcBorders>
            <w:shd w:val="clear" w:color="auto" w:fill="auto"/>
            <w:noWrap/>
            <w:vAlign w:val="center"/>
            <w:hideMark/>
          </w:tcPr>
          <w:p w14:paraId="2ADABDB3"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220,295</w:t>
            </w:r>
          </w:p>
        </w:tc>
        <w:tc>
          <w:tcPr>
            <w:tcW w:w="1049" w:type="dxa"/>
            <w:tcBorders>
              <w:top w:val="single" w:sz="8" w:space="0" w:color="auto"/>
              <w:left w:val="nil"/>
              <w:bottom w:val="single" w:sz="8" w:space="0" w:color="auto"/>
              <w:right w:val="single" w:sz="4" w:space="0" w:color="auto"/>
            </w:tcBorders>
          </w:tcPr>
          <w:p w14:paraId="57931492" w14:textId="35CD979A" w:rsidR="005F43B2" w:rsidRPr="00E123FE" w:rsidRDefault="00DE61AC" w:rsidP="007B44BE">
            <w:pPr>
              <w:spacing w:after="0" w:line="240" w:lineRule="auto"/>
              <w:jc w:val="right"/>
              <w:rPr>
                <w:rFonts w:ascii="Calibri" w:eastAsia="Times New Roman" w:hAnsi="Calibri" w:cs="Calibri"/>
                <w:color w:val="000000"/>
                <w:szCs w:val="24"/>
                <w:lang w:eastAsia="en-GB"/>
              </w:rPr>
            </w:pPr>
            <w:r>
              <w:rPr>
                <w:rFonts w:ascii="Calibri" w:eastAsia="Times New Roman" w:hAnsi="Calibri" w:cs="Calibri"/>
                <w:color w:val="000000"/>
                <w:szCs w:val="24"/>
                <w:lang w:eastAsia="en-GB"/>
              </w:rPr>
              <w:t>98</w:t>
            </w:r>
            <w:r w:rsidR="00766C09">
              <w:rPr>
                <w:rFonts w:ascii="Calibri" w:eastAsia="Times New Roman" w:hAnsi="Calibri" w:cs="Calibri"/>
                <w:color w:val="000000"/>
                <w:szCs w:val="24"/>
                <w:lang w:eastAsia="en-GB"/>
              </w:rPr>
              <w:t>,</w:t>
            </w:r>
            <w:r>
              <w:rPr>
                <w:rFonts w:ascii="Calibri" w:eastAsia="Times New Roman" w:hAnsi="Calibri" w:cs="Calibri"/>
                <w:color w:val="000000"/>
                <w:szCs w:val="24"/>
                <w:lang w:eastAsia="en-GB"/>
              </w:rPr>
              <w:t>147</w:t>
            </w:r>
          </w:p>
        </w:tc>
        <w:tc>
          <w:tcPr>
            <w:tcW w:w="1431" w:type="dxa"/>
            <w:tcBorders>
              <w:top w:val="nil"/>
              <w:left w:val="single" w:sz="4" w:space="0" w:color="auto"/>
              <w:bottom w:val="single" w:sz="8" w:space="0" w:color="auto"/>
              <w:right w:val="single" w:sz="8" w:space="0" w:color="auto"/>
            </w:tcBorders>
            <w:shd w:val="clear" w:color="auto" w:fill="auto"/>
            <w:noWrap/>
            <w:vAlign w:val="center"/>
            <w:hideMark/>
          </w:tcPr>
          <w:p w14:paraId="24AC47A2" w14:textId="6E80A050"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267,469</w:t>
            </w:r>
          </w:p>
        </w:tc>
      </w:tr>
      <w:tr w:rsidR="005F43B2" w:rsidRPr="00E123FE" w14:paraId="3975D3EC" w14:textId="77777777" w:rsidTr="00D96967">
        <w:trPr>
          <w:trHeight w:val="31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AE846F3" w14:textId="77777777" w:rsidR="005F43B2" w:rsidRPr="00E123FE" w:rsidRDefault="005F43B2" w:rsidP="007B44BE">
            <w:pPr>
              <w:spacing w:after="0" w:line="240" w:lineRule="auto"/>
              <w:rPr>
                <w:rFonts w:ascii="Calibri" w:eastAsia="Times New Roman" w:hAnsi="Calibri" w:cs="Calibri"/>
                <w:b/>
                <w:bCs/>
                <w:color w:val="000000"/>
                <w:szCs w:val="24"/>
                <w:lang w:eastAsia="en-GB"/>
              </w:rPr>
            </w:pPr>
            <w:r w:rsidRPr="00E123FE">
              <w:rPr>
                <w:rFonts w:ascii="Calibri" w:eastAsia="Times New Roman" w:hAnsi="Calibri" w:cs="Calibri"/>
                <w:b/>
                <w:bCs/>
                <w:color w:val="000000"/>
                <w:szCs w:val="24"/>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6BF6D269" w14:textId="77777777" w:rsidR="005F43B2" w:rsidRPr="00E123FE" w:rsidRDefault="005F43B2" w:rsidP="007B44BE">
            <w:pPr>
              <w:spacing w:after="0" w:line="240" w:lineRule="auto"/>
              <w:rPr>
                <w:rFonts w:ascii="Calibri" w:eastAsia="Times New Roman" w:hAnsi="Calibri" w:cs="Calibri"/>
                <w:b/>
                <w:bCs/>
                <w:color w:val="000000"/>
                <w:szCs w:val="24"/>
                <w:lang w:eastAsia="en-GB"/>
              </w:rPr>
            </w:pPr>
            <w:r w:rsidRPr="00E123FE">
              <w:rPr>
                <w:rFonts w:ascii="Calibri" w:eastAsia="Times New Roman" w:hAnsi="Calibri" w:cs="Calibri"/>
                <w:b/>
                <w:bCs/>
                <w:color w:val="000000"/>
                <w:szCs w:val="24"/>
                <w:lang w:eastAsia="en-GB"/>
              </w:rPr>
              <w:t>tCO</w:t>
            </w:r>
            <w:r w:rsidRPr="00E123FE">
              <w:rPr>
                <w:rFonts w:ascii="Calibri" w:eastAsia="Times New Roman" w:hAnsi="Calibri" w:cs="Calibri"/>
                <w:b/>
                <w:bCs/>
                <w:color w:val="000000"/>
                <w:szCs w:val="24"/>
                <w:vertAlign w:val="subscript"/>
                <w:lang w:eastAsia="en-GB"/>
              </w:rPr>
              <w:t>2</w:t>
            </w:r>
            <w:r w:rsidRPr="00E123FE">
              <w:rPr>
                <w:rFonts w:ascii="Calibri" w:eastAsia="Times New Roman" w:hAnsi="Calibri" w:cs="Calibri"/>
                <w:b/>
                <w:bCs/>
                <w:color w:val="000000"/>
                <w:szCs w:val="24"/>
                <w:lang w:eastAsia="en-GB"/>
              </w:rPr>
              <w:t>e</w:t>
            </w:r>
          </w:p>
        </w:tc>
        <w:tc>
          <w:tcPr>
            <w:tcW w:w="1431" w:type="dxa"/>
            <w:tcBorders>
              <w:top w:val="nil"/>
              <w:left w:val="nil"/>
              <w:bottom w:val="single" w:sz="8" w:space="0" w:color="auto"/>
              <w:right w:val="single" w:sz="8" w:space="0" w:color="auto"/>
            </w:tcBorders>
            <w:shd w:val="clear" w:color="auto" w:fill="auto"/>
            <w:noWrap/>
            <w:vAlign w:val="center"/>
            <w:hideMark/>
          </w:tcPr>
          <w:p w14:paraId="76F2F137" w14:textId="77777777" w:rsidR="005F43B2" w:rsidRPr="00E123FE" w:rsidRDefault="005F43B2" w:rsidP="007B44BE">
            <w:pPr>
              <w:spacing w:after="0" w:line="240" w:lineRule="auto"/>
              <w:jc w:val="right"/>
              <w:rPr>
                <w:rFonts w:ascii="Calibri" w:eastAsia="Times New Roman" w:hAnsi="Calibri" w:cs="Calibri"/>
                <w:b/>
                <w:bCs/>
                <w:color w:val="000000"/>
                <w:szCs w:val="24"/>
                <w:lang w:eastAsia="en-GB"/>
              </w:rPr>
            </w:pPr>
            <w:r w:rsidRPr="00E123FE">
              <w:rPr>
                <w:rFonts w:ascii="Calibri" w:eastAsia="Times New Roman" w:hAnsi="Calibri" w:cs="Calibri"/>
                <w:b/>
                <w:bCs/>
                <w:color w:val="000000"/>
                <w:szCs w:val="24"/>
                <w:lang w:eastAsia="en-GB"/>
              </w:rPr>
              <w:t>285,044</w:t>
            </w:r>
          </w:p>
        </w:tc>
        <w:tc>
          <w:tcPr>
            <w:tcW w:w="1431" w:type="dxa"/>
            <w:tcBorders>
              <w:top w:val="nil"/>
              <w:left w:val="nil"/>
              <w:bottom w:val="single" w:sz="8" w:space="0" w:color="auto"/>
              <w:right w:val="single" w:sz="8" w:space="0" w:color="auto"/>
            </w:tcBorders>
            <w:shd w:val="clear" w:color="auto" w:fill="auto"/>
            <w:noWrap/>
            <w:vAlign w:val="center"/>
            <w:hideMark/>
          </w:tcPr>
          <w:p w14:paraId="611CBA8C" w14:textId="77777777" w:rsidR="005F43B2" w:rsidRPr="00E123FE" w:rsidRDefault="005F43B2" w:rsidP="007B44BE">
            <w:pPr>
              <w:spacing w:after="0" w:line="240" w:lineRule="auto"/>
              <w:jc w:val="right"/>
              <w:rPr>
                <w:rFonts w:ascii="Calibri" w:eastAsia="Times New Roman" w:hAnsi="Calibri" w:cs="Calibri"/>
                <w:b/>
                <w:bCs/>
                <w:color w:val="000000"/>
                <w:szCs w:val="24"/>
                <w:lang w:eastAsia="en-GB"/>
              </w:rPr>
            </w:pPr>
            <w:r w:rsidRPr="00E123FE">
              <w:rPr>
                <w:rFonts w:ascii="Calibri" w:eastAsia="Times New Roman" w:hAnsi="Calibri" w:cs="Calibri"/>
                <w:b/>
                <w:bCs/>
                <w:color w:val="000000"/>
                <w:szCs w:val="24"/>
                <w:lang w:eastAsia="en-GB"/>
              </w:rPr>
              <w:t>261,083</w:t>
            </w:r>
          </w:p>
        </w:tc>
        <w:tc>
          <w:tcPr>
            <w:tcW w:w="1049" w:type="dxa"/>
            <w:tcBorders>
              <w:top w:val="single" w:sz="8" w:space="0" w:color="auto"/>
              <w:left w:val="nil"/>
              <w:bottom w:val="single" w:sz="8" w:space="0" w:color="auto"/>
              <w:right w:val="single" w:sz="4" w:space="0" w:color="auto"/>
            </w:tcBorders>
          </w:tcPr>
          <w:p w14:paraId="7D20489C" w14:textId="2B3DB18F" w:rsidR="005F43B2" w:rsidRPr="00E123FE" w:rsidRDefault="00E506DF" w:rsidP="007B44BE">
            <w:pPr>
              <w:spacing w:after="0" w:line="240" w:lineRule="auto"/>
              <w:jc w:val="right"/>
              <w:rPr>
                <w:rFonts w:ascii="Calibri" w:eastAsia="Times New Roman" w:hAnsi="Calibri" w:cs="Calibri"/>
                <w:b/>
                <w:bCs/>
                <w:color w:val="000000"/>
                <w:szCs w:val="24"/>
                <w:lang w:eastAsia="en-GB"/>
              </w:rPr>
            </w:pPr>
            <w:r>
              <w:rPr>
                <w:rFonts w:ascii="Calibri" w:eastAsia="Times New Roman" w:hAnsi="Calibri" w:cs="Calibri"/>
                <w:b/>
                <w:bCs/>
                <w:color w:val="000000"/>
                <w:szCs w:val="24"/>
                <w:lang w:eastAsia="en-GB"/>
              </w:rPr>
              <w:t>116</w:t>
            </w:r>
            <w:r w:rsidR="00766C09">
              <w:rPr>
                <w:rFonts w:ascii="Calibri" w:eastAsia="Times New Roman" w:hAnsi="Calibri" w:cs="Calibri"/>
                <w:b/>
                <w:bCs/>
                <w:color w:val="000000"/>
                <w:szCs w:val="24"/>
                <w:lang w:eastAsia="en-GB"/>
              </w:rPr>
              <w:t>,</w:t>
            </w:r>
            <w:r w:rsidR="00913C00">
              <w:rPr>
                <w:rFonts w:ascii="Calibri" w:eastAsia="Times New Roman" w:hAnsi="Calibri" w:cs="Calibri"/>
                <w:b/>
                <w:bCs/>
                <w:color w:val="000000"/>
                <w:szCs w:val="24"/>
                <w:lang w:eastAsia="en-GB"/>
              </w:rPr>
              <w:t>320</w:t>
            </w:r>
          </w:p>
        </w:tc>
        <w:tc>
          <w:tcPr>
            <w:tcW w:w="1431" w:type="dxa"/>
            <w:tcBorders>
              <w:top w:val="nil"/>
              <w:left w:val="single" w:sz="4" w:space="0" w:color="auto"/>
              <w:bottom w:val="single" w:sz="8" w:space="0" w:color="auto"/>
              <w:right w:val="single" w:sz="8" w:space="0" w:color="auto"/>
            </w:tcBorders>
            <w:shd w:val="clear" w:color="auto" w:fill="auto"/>
            <w:noWrap/>
            <w:vAlign w:val="center"/>
            <w:hideMark/>
          </w:tcPr>
          <w:p w14:paraId="262D7889" w14:textId="39A8004C" w:rsidR="005F43B2" w:rsidRPr="00E123FE" w:rsidRDefault="005F43B2" w:rsidP="007B44BE">
            <w:pPr>
              <w:spacing w:after="0" w:line="240" w:lineRule="auto"/>
              <w:jc w:val="right"/>
              <w:rPr>
                <w:rFonts w:ascii="Calibri" w:eastAsia="Times New Roman" w:hAnsi="Calibri" w:cs="Calibri"/>
                <w:b/>
                <w:bCs/>
                <w:color w:val="000000"/>
                <w:szCs w:val="24"/>
                <w:lang w:eastAsia="en-GB"/>
              </w:rPr>
            </w:pPr>
            <w:r w:rsidRPr="00E123FE">
              <w:rPr>
                <w:rFonts w:ascii="Calibri" w:eastAsia="Times New Roman" w:hAnsi="Calibri" w:cs="Calibri"/>
                <w:b/>
                <w:bCs/>
                <w:color w:val="000000"/>
                <w:szCs w:val="24"/>
                <w:lang w:eastAsia="en-GB"/>
              </w:rPr>
              <w:t>306,801</w:t>
            </w:r>
          </w:p>
        </w:tc>
      </w:tr>
      <w:tr w:rsidR="005F43B2" w:rsidRPr="00E123FE" w14:paraId="27C7A55B" w14:textId="77777777" w:rsidTr="006C6011">
        <w:trPr>
          <w:trHeight w:val="300"/>
          <w:jc w:val="center"/>
        </w:trPr>
        <w:tc>
          <w:tcPr>
            <w:tcW w:w="1500" w:type="dxa"/>
            <w:tcBorders>
              <w:top w:val="single" w:sz="8" w:space="0" w:color="auto"/>
              <w:left w:val="single" w:sz="8" w:space="0" w:color="auto"/>
              <w:bottom w:val="single" w:sz="8" w:space="0" w:color="auto"/>
              <w:right w:val="single" w:sz="8" w:space="0" w:color="1C1F63" w:themeColor="text1"/>
            </w:tcBorders>
            <w:shd w:val="clear" w:color="auto" w:fill="005EB8"/>
          </w:tcPr>
          <w:p w14:paraId="3A238275" w14:textId="77777777" w:rsidR="005F43B2" w:rsidRPr="00E123FE" w:rsidRDefault="005F43B2" w:rsidP="007B44BE">
            <w:pPr>
              <w:spacing w:after="0" w:line="240" w:lineRule="auto"/>
              <w:rPr>
                <w:rFonts w:ascii="Calibri" w:eastAsia="Times New Roman" w:hAnsi="Calibri" w:cs="Calibri"/>
                <w:b/>
                <w:bCs/>
                <w:color w:val="FFFFFF"/>
                <w:szCs w:val="24"/>
                <w:lang w:eastAsia="en-GB"/>
              </w:rPr>
            </w:pPr>
          </w:p>
        </w:tc>
        <w:tc>
          <w:tcPr>
            <w:tcW w:w="10022" w:type="dxa"/>
            <w:gridSpan w:val="6"/>
            <w:tcBorders>
              <w:top w:val="single" w:sz="8" w:space="0" w:color="auto"/>
              <w:left w:val="single" w:sz="8" w:space="0" w:color="auto"/>
              <w:bottom w:val="single" w:sz="8" w:space="0" w:color="auto"/>
              <w:right w:val="single" w:sz="8" w:space="0" w:color="1C1F63" w:themeColor="text1"/>
            </w:tcBorders>
            <w:shd w:val="clear" w:color="auto" w:fill="005EB8"/>
            <w:noWrap/>
            <w:vAlign w:val="center"/>
            <w:hideMark/>
          </w:tcPr>
          <w:p w14:paraId="784FC864" w14:textId="6D06D4ED" w:rsidR="005F43B2" w:rsidRPr="00E123FE"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Energy</w:t>
            </w:r>
          </w:p>
        </w:tc>
      </w:tr>
      <w:tr w:rsidR="005F43B2" w:rsidRPr="00E123FE" w14:paraId="79596109" w14:textId="77777777" w:rsidTr="00D96967">
        <w:trPr>
          <w:trHeight w:val="30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1F65CE"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Gas consumption</w:t>
            </w:r>
          </w:p>
        </w:tc>
        <w:tc>
          <w:tcPr>
            <w:tcW w:w="960" w:type="dxa"/>
            <w:tcBorders>
              <w:top w:val="nil"/>
              <w:left w:val="nil"/>
              <w:bottom w:val="single" w:sz="8" w:space="0" w:color="auto"/>
              <w:right w:val="single" w:sz="8" w:space="0" w:color="auto"/>
            </w:tcBorders>
            <w:shd w:val="clear" w:color="auto" w:fill="auto"/>
            <w:noWrap/>
            <w:vAlign w:val="center"/>
            <w:hideMark/>
          </w:tcPr>
          <w:p w14:paraId="1C917032"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kWh</w:t>
            </w:r>
          </w:p>
        </w:tc>
        <w:tc>
          <w:tcPr>
            <w:tcW w:w="1431" w:type="dxa"/>
            <w:tcBorders>
              <w:top w:val="nil"/>
              <w:left w:val="nil"/>
              <w:bottom w:val="single" w:sz="8" w:space="0" w:color="auto"/>
              <w:right w:val="single" w:sz="8" w:space="0" w:color="auto"/>
            </w:tcBorders>
            <w:shd w:val="clear" w:color="auto" w:fill="auto"/>
            <w:noWrap/>
            <w:vAlign w:val="center"/>
            <w:hideMark/>
          </w:tcPr>
          <w:p w14:paraId="1289F845"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154,181,076</w:t>
            </w:r>
          </w:p>
        </w:tc>
        <w:tc>
          <w:tcPr>
            <w:tcW w:w="1431" w:type="dxa"/>
            <w:tcBorders>
              <w:top w:val="nil"/>
              <w:left w:val="nil"/>
              <w:bottom w:val="single" w:sz="8" w:space="0" w:color="auto"/>
              <w:right w:val="single" w:sz="8" w:space="0" w:color="auto"/>
            </w:tcBorders>
            <w:shd w:val="clear" w:color="auto" w:fill="auto"/>
            <w:noWrap/>
            <w:vAlign w:val="center"/>
            <w:hideMark/>
          </w:tcPr>
          <w:p w14:paraId="52063B31"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143,401,024</w:t>
            </w:r>
          </w:p>
        </w:tc>
        <w:tc>
          <w:tcPr>
            <w:tcW w:w="1049" w:type="dxa"/>
            <w:tcBorders>
              <w:top w:val="nil"/>
              <w:left w:val="nil"/>
              <w:bottom w:val="single" w:sz="8" w:space="0" w:color="auto"/>
              <w:right w:val="nil"/>
            </w:tcBorders>
          </w:tcPr>
          <w:p w14:paraId="499841FB"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noWrap/>
            <w:vAlign w:val="center"/>
            <w:hideMark/>
          </w:tcPr>
          <w:p w14:paraId="5419B59E" w14:textId="1BD8072E"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137,405,280</w:t>
            </w:r>
          </w:p>
        </w:tc>
      </w:tr>
      <w:tr w:rsidR="005F43B2" w:rsidRPr="00E123FE" w14:paraId="61AF40F9" w14:textId="77777777" w:rsidTr="00D96967">
        <w:trPr>
          <w:trHeight w:val="30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4EC9306"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Oil Consumption</w:t>
            </w:r>
          </w:p>
        </w:tc>
        <w:tc>
          <w:tcPr>
            <w:tcW w:w="960" w:type="dxa"/>
            <w:tcBorders>
              <w:top w:val="nil"/>
              <w:left w:val="nil"/>
              <w:bottom w:val="single" w:sz="8" w:space="0" w:color="auto"/>
              <w:right w:val="single" w:sz="8" w:space="0" w:color="auto"/>
            </w:tcBorders>
            <w:shd w:val="clear" w:color="auto" w:fill="auto"/>
            <w:noWrap/>
            <w:vAlign w:val="center"/>
            <w:hideMark/>
          </w:tcPr>
          <w:p w14:paraId="32D137A7"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Litres</w:t>
            </w:r>
          </w:p>
        </w:tc>
        <w:tc>
          <w:tcPr>
            <w:tcW w:w="1431" w:type="dxa"/>
            <w:tcBorders>
              <w:top w:val="nil"/>
              <w:left w:val="nil"/>
              <w:bottom w:val="single" w:sz="8" w:space="0" w:color="auto"/>
              <w:right w:val="single" w:sz="8" w:space="0" w:color="auto"/>
            </w:tcBorders>
            <w:shd w:val="clear" w:color="auto" w:fill="auto"/>
            <w:noWrap/>
            <w:vAlign w:val="center"/>
            <w:hideMark/>
          </w:tcPr>
          <w:p w14:paraId="1F50DFDB"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2,020,495</w:t>
            </w:r>
          </w:p>
        </w:tc>
        <w:tc>
          <w:tcPr>
            <w:tcW w:w="1431" w:type="dxa"/>
            <w:tcBorders>
              <w:top w:val="nil"/>
              <w:left w:val="nil"/>
              <w:bottom w:val="single" w:sz="8" w:space="0" w:color="auto"/>
              <w:right w:val="single" w:sz="8" w:space="0" w:color="auto"/>
            </w:tcBorders>
            <w:shd w:val="clear" w:color="auto" w:fill="auto"/>
            <w:noWrap/>
            <w:vAlign w:val="center"/>
            <w:hideMark/>
          </w:tcPr>
          <w:p w14:paraId="7CA89465"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743,682</w:t>
            </w:r>
          </w:p>
        </w:tc>
        <w:tc>
          <w:tcPr>
            <w:tcW w:w="1049" w:type="dxa"/>
            <w:tcBorders>
              <w:top w:val="nil"/>
              <w:left w:val="nil"/>
              <w:bottom w:val="single" w:sz="8" w:space="0" w:color="auto"/>
              <w:right w:val="nil"/>
            </w:tcBorders>
          </w:tcPr>
          <w:p w14:paraId="0DEB1D8C"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noWrap/>
            <w:vAlign w:val="center"/>
            <w:hideMark/>
          </w:tcPr>
          <w:p w14:paraId="6A51DD9A" w14:textId="2DB82EE0"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623,595</w:t>
            </w:r>
          </w:p>
        </w:tc>
      </w:tr>
      <w:tr w:rsidR="005F43B2" w:rsidRPr="00E123FE" w14:paraId="17E8A6D4" w14:textId="77777777" w:rsidTr="00D96967">
        <w:trPr>
          <w:trHeight w:val="30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5C7D1B"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Electricity Consumption</w:t>
            </w:r>
          </w:p>
        </w:tc>
        <w:tc>
          <w:tcPr>
            <w:tcW w:w="960" w:type="dxa"/>
            <w:tcBorders>
              <w:top w:val="nil"/>
              <w:left w:val="nil"/>
              <w:bottom w:val="single" w:sz="8" w:space="0" w:color="auto"/>
              <w:right w:val="single" w:sz="8" w:space="0" w:color="auto"/>
            </w:tcBorders>
            <w:shd w:val="clear" w:color="auto" w:fill="auto"/>
            <w:noWrap/>
            <w:vAlign w:val="center"/>
            <w:hideMark/>
          </w:tcPr>
          <w:p w14:paraId="463836D2"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kWh</w:t>
            </w:r>
          </w:p>
        </w:tc>
        <w:tc>
          <w:tcPr>
            <w:tcW w:w="1431" w:type="dxa"/>
            <w:tcBorders>
              <w:top w:val="nil"/>
              <w:left w:val="nil"/>
              <w:bottom w:val="single" w:sz="8" w:space="0" w:color="auto"/>
              <w:right w:val="single" w:sz="8" w:space="0" w:color="auto"/>
            </w:tcBorders>
            <w:shd w:val="clear" w:color="auto" w:fill="auto"/>
            <w:noWrap/>
            <w:vAlign w:val="center"/>
            <w:hideMark/>
          </w:tcPr>
          <w:p w14:paraId="759BF119"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47,861,589</w:t>
            </w:r>
          </w:p>
        </w:tc>
        <w:tc>
          <w:tcPr>
            <w:tcW w:w="1431" w:type="dxa"/>
            <w:tcBorders>
              <w:top w:val="nil"/>
              <w:left w:val="nil"/>
              <w:bottom w:val="single" w:sz="8" w:space="0" w:color="auto"/>
              <w:right w:val="single" w:sz="8" w:space="0" w:color="auto"/>
            </w:tcBorders>
            <w:shd w:val="clear" w:color="auto" w:fill="auto"/>
            <w:noWrap/>
            <w:vAlign w:val="center"/>
            <w:hideMark/>
          </w:tcPr>
          <w:p w14:paraId="7A7D51FA"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46,091,982</w:t>
            </w:r>
          </w:p>
        </w:tc>
        <w:tc>
          <w:tcPr>
            <w:tcW w:w="1049" w:type="dxa"/>
            <w:tcBorders>
              <w:top w:val="nil"/>
              <w:left w:val="nil"/>
              <w:bottom w:val="single" w:sz="8" w:space="0" w:color="auto"/>
              <w:right w:val="nil"/>
            </w:tcBorders>
          </w:tcPr>
          <w:p w14:paraId="3D3E5485"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noWrap/>
            <w:vAlign w:val="center"/>
            <w:hideMark/>
          </w:tcPr>
          <w:p w14:paraId="34BED470" w14:textId="20717FBE"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43,390,423</w:t>
            </w:r>
          </w:p>
        </w:tc>
      </w:tr>
      <w:tr w:rsidR="005F43B2" w:rsidRPr="00E123FE" w14:paraId="79439F6E" w14:textId="77777777" w:rsidTr="006C6011">
        <w:trPr>
          <w:trHeight w:val="300"/>
          <w:jc w:val="center"/>
        </w:trPr>
        <w:tc>
          <w:tcPr>
            <w:tcW w:w="1500" w:type="dxa"/>
            <w:tcBorders>
              <w:top w:val="single" w:sz="8" w:space="0" w:color="auto"/>
              <w:left w:val="single" w:sz="8" w:space="0" w:color="auto"/>
              <w:bottom w:val="single" w:sz="8" w:space="0" w:color="auto"/>
              <w:right w:val="single" w:sz="8" w:space="0" w:color="1C1F63" w:themeColor="text1"/>
            </w:tcBorders>
            <w:shd w:val="clear" w:color="auto" w:fill="005EB8"/>
          </w:tcPr>
          <w:p w14:paraId="1E4813EC" w14:textId="77777777" w:rsidR="005F43B2" w:rsidRPr="00E123FE" w:rsidRDefault="005F43B2" w:rsidP="007B44BE">
            <w:pPr>
              <w:spacing w:after="0" w:line="240" w:lineRule="auto"/>
              <w:rPr>
                <w:rFonts w:ascii="Calibri" w:eastAsia="Times New Roman" w:hAnsi="Calibri" w:cs="Calibri"/>
                <w:b/>
                <w:bCs/>
                <w:color w:val="FFFFFF"/>
                <w:szCs w:val="24"/>
                <w:lang w:eastAsia="en-GB"/>
              </w:rPr>
            </w:pPr>
          </w:p>
        </w:tc>
        <w:tc>
          <w:tcPr>
            <w:tcW w:w="10022" w:type="dxa"/>
            <w:gridSpan w:val="6"/>
            <w:tcBorders>
              <w:top w:val="single" w:sz="8" w:space="0" w:color="auto"/>
              <w:left w:val="single" w:sz="8" w:space="0" w:color="auto"/>
              <w:bottom w:val="single" w:sz="8" w:space="0" w:color="auto"/>
              <w:right w:val="single" w:sz="8" w:space="0" w:color="1C1F63" w:themeColor="text1"/>
            </w:tcBorders>
            <w:shd w:val="clear" w:color="auto" w:fill="005EB8"/>
            <w:noWrap/>
            <w:vAlign w:val="center"/>
            <w:hideMark/>
          </w:tcPr>
          <w:p w14:paraId="5354DA32" w14:textId="19F9C6B0" w:rsidR="005F43B2" w:rsidRPr="00E123FE"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Supply Chain</w:t>
            </w:r>
          </w:p>
        </w:tc>
      </w:tr>
      <w:tr w:rsidR="005F43B2" w:rsidRPr="00E123FE" w14:paraId="6342DE63" w14:textId="77777777" w:rsidTr="00D96967">
        <w:trPr>
          <w:trHeight w:val="700"/>
          <w:jc w:val="center"/>
        </w:trPr>
        <w:tc>
          <w:tcPr>
            <w:tcW w:w="5220" w:type="dxa"/>
            <w:gridSpan w:val="2"/>
            <w:tcBorders>
              <w:top w:val="nil"/>
              <w:left w:val="single" w:sz="8" w:space="0" w:color="auto"/>
              <w:bottom w:val="single" w:sz="8" w:space="0" w:color="auto"/>
              <w:right w:val="single" w:sz="8" w:space="0" w:color="auto"/>
            </w:tcBorders>
            <w:shd w:val="clear" w:color="auto" w:fill="auto"/>
            <w:vAlign w:val="center"/>
            <w:hideMark/>
          </w:tcPr>
          <w:p w14:paraId="3248350D"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Purchased goods and services (including upstream transport and distribution)</w:t>
            </w:r>
          </w:p>
        </w:tc>
        <w:tc>
          <w:tcPr>
            <w:tcW w:w="960" w:type="dxa"/>
            <w:tcBorders>
              <w:top w:val="nil"/>
              <w:left w:val="nil"/>
              <w:bottom w:val="single" w:sz="8" w:space="0" w:color="auto"/>
              <w:right w:val="single" w:sz="8" w:space="0" w:color="auto"/>
            </w:tcBorders>
            <w:shd w:val="clear" w:color="auto" w:fill="auto"/>
            <w:noWrap/>
            <w:vAlign w:val="center"/>
            <w:hideMark/>
          </w:tcPr>
          <w:p w14:paraId="1727F164"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tCO</w:t>
            </w:r>
            <w:r w:rsidRPr="00E123FE">
              <w:rPr>
                <w:rFonts w:ascii="Calibri" w:eastAsia="Times New Roman" w:hAnsi="Calibri" w:cs="Calibri"/>
                <w:color w:val="000000"/>
                <w:szCs w:val="24"/>
                <w:vertAlign w:val="subscript"/>
                <w:lang w:eastAsia="en-GB"/>
              </w:rPr>
              <w:t>2</w:t>
            </w:r>
            <w:r w:rsidRPr="00E123FE">
              <w:rPr>
                <w:rFonts w:ascii="Calibri" w:eastAsia="Times New Roman" w:hAnsi="Calibri" w:cs="Calibri"/>
                <w:color w:val="000000"/>
                <w:szCs w:val="24"/>
                <w:lang w:eastAsia="en-GB"/>
              </w:rPr>
              <w:t>e</w:t>
            </w:r>
          </w:p>
        </w:tc>
        <w:tc>
          <w:tcPr>
            <w:tcW w:w="1431" w:type="dxa"/>
            <w:tcBorders>
              <w:top w:val="nil"/>
              <w:left w:val="nil"/>
              <w:bottom w:val="single" w:sz="8" w:space="0" w:color="auto"/>
              <w:right w:val="single" w:sz="8" w:space="0" w:color="auto"/>
            </w:tcBorders>
            <w:shd w:val="clear" w:color="auto" w:fill="auto"/>
            <w:noWrap/>
            <w:vAlign w:val="center"/>
            <w:hideMark/>
          </w:tcPr>
          <w:p w14:paraId="72644F9C"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186,226</w:t>
            </w:r>
          </w:p>
        </w:tc>
        <w:tc>
          <w:tcPr>
            <w:tcW w:w="1431" w:type="dxa"/>
            <w:tcBorders>
              <w:top w:val="nil"/>
              <w:left w:val="nil"/>
              <w:bottom w:val="single" w:sz="8" w:space="0" w:color="auto"/>
              <w:right w:val="single" w:sz="8" w:space="0" w:color="auto"/>
            </w:tcBorders>
            <w:shd w:val="clear" w:color="auto" w:fill="auto"/>
            <w:noWrap/>
            <w:vAlign w:val="center"/>
            <w:hideMark/>
          </w:tcPr>
          <w:p w14:paraId="0D4EFC0D"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177,616</w:t>
            </w:r>
          </w:p>
        </w:tc>
        <w:tc>
          <w:tcPr>
            <w:tcW w:w="1049" w:type="dxa"/>
            <w:tcBorders>
              <w:top w:val="nil"/>
              <w:left w:val="nil"/>
              <w:bottom w:val="single" w:sz="8" w:space="0" w:color="auto"/>
              <w:right w:val="nil"/>
            </w:tcBorders>
          </w:tcPr>
          <w:p w14:paraId="091EE862"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noWrap/>
            <w:vAlign w:val="center"/>
            <w:hideMark/>
          </w:tcPr>
          <w:p w14:paraId="2A283340" w14:textId="7FAF74C0"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224,120</w:t>
            </w:r>
          </w:p>
        </w:tc>
      </w:tr>
      <w:tr w:rsidR="005F43B2" w:rsidRPr="00E123FE" w14:paraId="02637170" w14:textId="77777777" w:rsidTr="006C6011">
        <w:trPr>
          <w:trHeight w:val="300"/>
          <w:jc w:val="center"/>
        </w:trPr>
        <w:tc>
          <w:tcPr>
            <w:tcW w:w="1500" w:type="dxa"/>
            <w:tcBorders>
              <w:top w:val="single" w:sz="8" w:space="0" w:color="auto"/>
              <w:left w:val="single" w:sz="8" w:space="0" w:color="auto"/>
              <w:bottom w:val="single" w:sz="8" w:space="0" w:color="auto"/>
              <w:right w:val="single" w:sz="8" w:space="0" w:color="1C1F63" w:themeColor="text1"/>
            </w:tcBorders>
            <w:shd w:val="clear" w:color="auto" w:fill="005EB8"/>
          </w:tcPr>
          <w:p w14:paraId="16998790" w14:textId="77777777" w:rsidR="005F43B2" w:rsidRPr="00E123FE" w:rsidRDefault="005F43B2" w:rsidP="007B44BE">
            <w:pPr>
              <w:spacing w:after="0" w:line="240" w:lineRule="auto"/>
              <w:rPr>
                <w:rFonts w:ascii="Calibri" w:eastAsia="Times New Roman" w:hAnsi="Calibri" w:cs="Calibri"/>
                <w:b/>
                <w:bCs/>
                <w:color w:val="FFFFFF"/>
                <w:szCs w:val="24"/>
                <w:lang w:eastAsia="en-GB"/>
              </w:rPr>
            </w:pPr>
          </w:p>
        </w:tc>
        <w:tc>
          <w:tcPr>
            <w:tcW w:w="10022" w:type="dxa"/>
            <w:gridSpan w:val="6"/>
            <w:tcBorders>
              <w:top w:val="single" w:sz="8" w:space="0" w:color="auto"/>
              <w:left w:val="single" w:sz="8" w:space="0" w:color="auto"/>
              <w:bottom w:val="single" w:sz="8" w:space="0" w:color="auto"/>
              <w:right w:val="single" w:sz="8" w:space="0" w:color="1C1F63" w:themeColor="text1"/>
            </w:tcBorders>
            <w:shd w:val="clear" w:color="auto" w:fill="005EB8"/>
            <w:vAlign w:val="center"/>
            <w:hideMark/>
          </w:tcPr>
          <w:p w14:paraId="175A6864" w14:textId="05F4ACE5" w:rsidR="005F43B2" w:rsidRPr="00E123FE"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Travel and Transport</w:t>
            </w:r>
          </w:p>
        </w:tc>
      </w:tr>
      <w:tr w:rsidR="005F43B2" w:rsidRPr="00E123FE" w14:paraId="12145045" w14:textId="77777777" w:rsidTr="00D96967">
        <w:trPr>
          <w:trHeight w:val="440"/>
          <w:jc w:val="center"/>
        </w:trPr>
        <w:tc>
          <w:tcPr>
            <w:tcW w:w="5220" w:type="dxa"/>
            <w:gridSpan w:val="2"/>
            <w:tcBorders>
              <w:top w:val="nil"/>
              <w:left w:val="single" w:sz="8" w:space="0" w:color="auto"/>
              <w:bottom w:val="nil"/>
              <w:right w:val="single" w:sz="8" w:space="0" w:color="auto"/>
            </w:tcBorders>
            <w:shd w:val="clear" w:color="auto" w:fill="auto"/>
            <w:vAlign w:val="center"/>
            <w:hideMark/>
          </w:tcPr>
          <w:p w14:paraId="3C039680"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Trust owned Fleet</w:t>
            </w:r>
          </w:p>
        </w:tc>
        <w:tc>
          <w:tcPr>
            <w:tcW w:w="960" w:type="dxa"/>
            <w:tcBorders>
              <w:top w:val="nil"/>
              <w:left w:val="nil"/>
              <w:bottom w:val="single" w:sz="8" w:space="0" w:color="auto"/>
              <w:right w:val="single" w:sz="8" w:space="0" w:color="auto"/>
            </w:tcBorders>
            <w:shd w:val="clear" w:color="auto" w:fill="auto"/>
            <w:vAlign w:val="center"/>
            <w:hideMark/>
          </w:tcPr>
          <w:p w14:paraId="70B18AE9"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tCO</w:t>
            </w:r>
            <w:r w:rsidRPr="00E123FE">
              <w:rPr>
                <w:rFonts w:ascii="Calibri" w:eastAsia="Times New Roman" w:hAnsi="Calibri" w:cs="Calibri"/>
                <w:color w:val="000000"/>
                <w:szCs w:val="24"/>
                <w:vertAlign w:val="subscript"/>
                <w:lang w:eastAsia="en-GB"/>
              </w:rPr>
              <w:t>2</w:t>
            </w:r>
            <w:r w:rsidRPr="00E123FE">
              <w:rPr>
                <w:rFonts w:ascii="Calibri" w:eastAsia="Times New Roman" w:hAnsi="Calibri" w:cs="Calibri"/>
                <w:color w:val="000000"/>
                <w:szCs w:val="24"/>
                <w:lang w:eastAsia="en-GB"/>
              </w:rPr>
              <w:t>e</w:t>
            </w:r>
          </w:p>
        </w:tc>
        <w:tc>
          <w:tcPr>
            <w:tcW w:w="1431" w:type="dxa"/>
            <w:tcBorders>
              <w:top w:val="nil"/>
              <w:left w:val="nil"/>
              <w:bottom w:val="single" w:sz="8" w:space="0" w:color="auto"/>
              <w:right w:val="single" w:sz="8" w:space="0" w:color="auto"/>
            </w:tcBorders>
            <w:shd w:val="clear" w:color="auto" w:fill="auto"/>
            <w:vAlign w:val="center"/>
            <w:hideMark/>
          </w:tcPr>
          <w:p w14:paraId="662AF864"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358</w:t>
            </w:r>
          </w:p>
        </w:tc>
        <w:tc>
          <w:tcPr>
            <w:tcW w:w="1431" w:type="dxa"/>
            <w:tcBorders>
              <w:top w:val="nil"/>
              <w:left w:val="nil"/>
              <w:bottom w:val="single" w:sz="8" w:space="0" w:color="auto"/>
              <w:right w:val="single" w:sz="8" w:space="0" w:color="auto"/>
            </w:tcBorders>
            <w:shd w:val="clear" w:color="auto" w:fill="auto"/>
            <w:vAlign w:val="center"/>
            <w:hideMark/>
          </w:tcPr>
          <w:p w14:paraId="1987F5F6"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352</w:t>
            </w:r>
          </w:p>
        </w:tc>
        <w:tc>
          <w:tcPr>
            <w:tcW w:w="1049" w:type="dxa"/>
            <w:tcBorders>
              <w:top w:val="nil"/>
              <w:left w:val="nil"/>
              <w:bottom w:val="single" w:sz="8" w:space="0" w:color="auto"/>
              <w:right w:val="nil"/>
            </w:tcBorders>
          </w:tcPr>
          <w:p w14:paraId="2B188D41"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vAlign w:val="center"/>
            <w:hideMark/>
          </w:tcPr>
          <w:p w14:paraId="0FF3ABD9" w14:textId="7410299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411</w:t>
            </w:r>
          </w:p>
        </w:tc>
      </w:tr>
      <w:tr w:rsidR="005F43B2" w:rsidRPr="00E123FE" w14:paraId="152C3072" w14:textId="77777777" w:rsidTr="00D96967">
        <w:trPr>
          <w:trHeight w:val="460"/>
          <w:jc w:val="center"/>
        </w:trPr>
        <w:tc>
          <w:tcPr>
            <w:tcW w:w="52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0580F87"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Employee Commuting</w:t>
            </w:r>
          </w:p>
        </w:tc>
        <w:tc>
          <w:tcPr>
            <w:tcW w:w="960" w:type="dxa"/>
            <w:tcBorders>
              <w:top w:val="nil"/>
              <w:left w:val="nil"/>
              <w:bottom w:val="single" w:sz="8" w:space="0" w:color="auto"/>
              <w:right w:val="single" w:sz="8" w:space="0" w:color="auto"/>
            </w:tcBorders>
            <w:shd w:val="clear" w:color="auto" w:fill="auto"/>
            <w:vAlign w:val="center"/>
            <w:hideMark/>
          </w:tcPr>
          <w:p w14:paraId="3D588B2E"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tCO</w:t>
            </w:r>
            <w:r w:rsidRPr="00E123FE">
              <w:rPr>
                <w:rFonts w:ascii="Calibri" w:eastAsia="Times New Roman" w:hAnsi="Calibri" w:cs="Calibri"/>
                <w:color w:val="000000"/>
                <w:szCs w:val="24"/>
                <w:vertAlign w:val="subscript"/>
                <w:lang w:eastAsia="en-GB"/>
              </w:rPr>
              <w:t>2</w:t>
            </w:r>
            <w:r w:rsidRPr="00E123FE">
              <w:rPr>
                <w:rFonts w:ascii="Calibri" w:eastAsia="Times New Roman" w:hAnsi="Calibri" w:cs="Calibri"/>
                <w:color w:val="000000"/>
                <w:szCs w:val="24"/>
                <w:lang w:eastAsia="en-GB"/>
              </w:rPr>
              <w:t>e</w:t>
            </w:r>
          </w:p>
        </w:tc>
        <w:tc>
          <w:tcPr>
            <w:tcW w:w="1431" w:type="dxa"/>
            <w:tcBorders>
              <w:top w:val="nil"/>
              <w:left w:val="nil"/>
              <w:bottom w:val="single" w:sz="8" w:space="0" w:color="auto"/>
              <w:right w:val="single" w:sz="8" w:space="0" w:color="auto"/>
            </w:tcBorders>
            <w:shd w:val="clear" w:color="auto" w:fill="auto"/>
            <w:vAlign w:val="center"/>
            <w:hideMark/>
          </w:tcPr>
          <w:p w14:paraId="08E03516"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7,596</w:t>
            </w:r>
          </w:p>
        </w:tc>
        <w:tc>
          <w:tcPr>
            <w:tcW w:w="1431" w:type="dxa"/>
            <w:tcBorders>
              <w:top w:val="nil"/>
              <w:left w:val="nil"/>
              <w:bottom w:val="single" w:sz="8" w:space="0" w:color="auto"/>
              <w:right w:val="single" w:sz="8" w:space="0" w:color="auto"/>
            </w:tcBorders>
            <w:shd w:val="clear" w:color="auto" w:fill="auto"/>
            <w:vAlign w:val="center"/>
            <w:hideMark/>
          </w:tcPr>
          <w:p w14:paraId="1C614A83"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7,785</w:t>
            </w:r>
          </w:p>
        </w:tc>
        <w:tc>
          <w:tcPr>
            <w:tcW w:w="1049" w:type="dxa"/>
            <w:tcBorders>
              <w:top w:val="nil"/>
              <w:left w:val="nil"/>
              <w:bottom w:val="single" w:sz="8" w:space="0" w:color="auto"/>
              <w:right w:val="nil"/>
            </w:tcBorders>
          </w:tcPr>
          <w:p w14:paraId="5E46DDA5"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vAlign w:val="center"/>
            <w:hideMark/>
          </w:tcPr>
          <w:p w14:paraId="5B743BEF" w14:textId="33A50F40"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7,836</w:t>
            </w:r>
          </w:p>
        </w:tc>
      </w:tr>
      <w:tr w:rsidR="005F43B2" w:rsidRPr="00E123FE" w14:paraId="6FDAF41C" w14:textId="77777777" w:rsidTr="006C6011">
        <w:trPr>
          <w:trHeight w:val="300"/>
          <w:jc w:val="center"/>
        </w:trPr>
        <w:tc>
          <w:tcPr>
            <w:tcW w:w="1500" w:type="dxa"/>
            <w:tcBorders>
              <w:top w:val="single" w:sz="8" w:space="0" w:color="auto"/>
              <w:left w:val="single" w:sz="8" w:space="0" w:color="auto"/>
              <w:bottom w:val="single" w:sz="8" w:space="0" w:color="auto"/>
              <w:right w:val="single" w:sz="8" w:space="0" w:color="1C1F63" w:themeColor="text1"/>
            </w:tcBorders>
            <w:shd w:val="clear" w:color="auto" w:fill="005EB8"/>
          </w:tcPr>
          <w:p w14:paraId="1A516CBF" w14:textId="77777777" w:rsidR="005F43B2" w:rsidRPr="00E123FE" w:rsidRDefault="005F43B2" w:rsidP="007B44BE">
            <w:pPr>
              <w:spacing w:after="0" w:line="240" w:lineRule="auto"/>
              <w:rPr>
                <w:rFonts w:ascii="Calibri" w:eastAsia="Times New Roman" w:hAnsi="Calibri" w:cs="Calibri"/>
                <w:b/>
                <w:bCs/>
                <w:color w:val="FFFFFF"/>
                <w:szCs w:val="24"/>
                <w:lang w:eastAsia="en-GB"/>
              </w:rPr>
            </w:pPr>
          </w:p>
        </w:tc>
        <w:tc>
          <w:tcPr>
            <w:tcW w:w="10022" w:type="dxa"/>
            <w:gridSpan w:val="6"/>
            <w:tcBorders>
              <w:top w:val="single" w:sz="8" w:space="0" w:color="auto"/>
              <w:left w:val="single" w:sz="8" w:space="0" w:color="auto"/>
              <w:bottom w:val="single" w:sz="8" w:space="0" w:color="auto"/>
              <w:right w:val="single" w:sz="8" w:space="0" w:color="1C1F63" w:themeColor="text1"/>
            </w:tcBorders>
            <w:shd w:val="clear" w:color="auto" w:fill="005EB8"/>
            <w:noWrap/>
            <w:vAlign w:val="center"/>
            <w:hideMark/>
          </w:tcPr>
          <w:p w14:paraId="5B4B391D" w14:textId="0713B69E" w:rsidR="005F43B2" w:rsidRPr="00E123FE"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Waste</w:t>
            </w:r>
          </w:p>
        </w:tc>
      </w:tr>
      <w:tr w:rsidR="005F43B2" w:rsidRPr="00E123FE" w14:paraId="6696C6D5" w14:textId="77777777" w:rsidTr="00D96967">
        <w:trPr>
          <w:trHeight w:val="300"/>
          <w:jc w:val="center"/>
        </w:trPr>
        <w:tc>
          <w:tcPr>
            <w:tcW w:w="5220" w:type="dxa"/>
            <w:gridSpan w:val="2"/>
            <w:vMerge w:val="restart"/>
            <w:tcBorders>
              <w:top w:val="nil"/>
              <w:left w:val="single" w:sz="8" w:space="0" w:color="auto"/>
              <w:bottom w:val="single" w:sz="8" w:space="0" w:color="1C1F63" w:themeColor="text1"/>
              <w:right w:val="single" w:sz="8" w:space="0" w:color="auto"/>
            </w:tcBorders>
            <w:shd w:val="clear" w:color="auto" w:fill="auto"/>
            <w:vAlign w:val="center"/>
            <w:hideMark/>
          </w:tcPr>
          <w:p w14:paraId="3DD3C990"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1C1F63" w:themeColor="text1"/>
                <w:szCs w:val="24"/>
                <w:lang w:eastAsia="en-GB"/>
              </w:rPr>
              <w:t>Total Waste</w:t>
            </w:r>
          </w:p>
        </w:tc>
        <w:tc>
          <w:tcPr>
            <w:tcW w:w="960" w:type="dxa"/>
            <w:tcBorders>
              <w:top w:val="nil"/>
              <w:left w:val="nil"/>
              <w:bottom w:val="nil"/>
              <w:right w:val="single" w:sz="8" w:space="0" w:color="auto"/>
            </w:tcBorders>
            <w:shd w:val="clear" w:color="auto" w:fill="auto"/>
            <w:vAlign w:val="center"/>
            <w:hideMark/>
          </w:tcPr>
          <w:p w14:paraId="00E868AA"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Tonnes</w:t>
            </w:r>
          </w:p>
        </w:tc>
        <w:tc>
          <w:tcPr>
            <w:tcW w:w="1431" w:type="dxa"/>
            <w:tcBorders>
              <w:top w:val="nil"/>
              <w:left w:val="nil"/>
              <w:bottom w:val="single" w:sz="8" w:space="0" w:color="auto"/>
              <w:right w:val="single" w:sz="8" w:space="0" w:color="auto"/>
            </w:tcBorders>
            <w:shd w:val="clear" w:color="auto" w:fill="auto"/>
            <w:vAlign w:val="center"/>
            <w:hideMark/>
          </w:tcPr>
          <w:p w14:paraId="6F0402F1"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6,350</w:t>
            </w:r>
          </w:p>
        </w:tc>
        <w:tc>
          <w:tcPr>
            <w:tcW w:w="1431" w:type="dxa"/>
            <w:tcBorders>
              <w:top w:val="nil"/>
              <w:left w:val="nil"/>
              <w:bottom w:val="single" w:sz="8" w:space="0" w:color="auto"/>
              <w:right w:val="single" w:sz="8" w:space="0" w:color="auto"/>
            </w:tcBorders>
            <w:shd w:val="clear" w:color="auto" w:fill="auto"/>
            <w:vAlign w:val="center"/>
            <w:hideMark/>
          </w:tcPr>
          <w:p w14:paraId="07F1D8CF"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6,564</w:t>
            </w:r>
          </w:p>
        </w:tc>
        <w:tc>
          <w:tcPr>
            <w:tcW w:w="1049" w:type="dxa"/>
            <w:tcBorders>
              <w:top w:val="nil"/>
              <w:left w:val="nil"/>
              <w:bottom w:val="single" w:sz="8" w:space="0" w:color="auto"/>
              <w:right w:val="nil"/>
            </w:tcBorders>
          </w:tcPr>
          <w:p w14:paraId="6EDD6C6C"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vAlign w:val="center"/>
            <w:hideMark/>
          </w:tcPr>
          <w:p w14:paraId="64172296" w14:textId="795FE4E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6,679</w:t>
            </w:r>
          </w:p>
        </w:tc>
      </w:tr>
      <w:tr w:rsidR="005F43B2" w:rsidRPr="00E123FE" w14:paraId="23DF50CC" w14:textId="77777777" w:rsidTr="00D96967">
        <w:trPr>
          <w:trHeight w:val="310"/>
          <w:jc w:val="center"/>
        </w:trPr>
        <w:tc>
          <w:tcPr>
            <w:tcW w:w="5220" w:type="dxa"/>
            <w:gridSpan w:val="2"/>
            <w:vMerge/>
            <w:vAlign w:val="center"/>
            <w:hideMark/>
          </w:tcPr>
          <w:p w14:paraId="4156BA43" w14:textId="77777777" w:rsidR="005F43B2" w:rsidRPr="00E123FE" w:rsidRDefault="005F43B2" w:rsidP="007B44BE">
            <w:pPr>
              <w:spacing w:after="0" w:line="240" w:lineRule="auto"/>
              <w:rPr>
                <w:rFonts w:ascii="Calibri" w:eastAsia="Times New Roman" w:hAnsi="Calibri" w:cs="Calibri"/>
                <w:color w:val="000000"/>
                <w:szCs w:val="24"/>
                <w:lang w:eastAsia="en-GB"/>
              </w:rPr>
            </w:pPr>
          </w:p>
        </w:tc>
        <w:tc>
          <w:tcPr>
            <w:tcW w:w="960" w:type="dxa"/>
            <w:tcBorders>
              <w:top w:val="single" w:sz="8" w:space="0" w:color="auto"/>
              <w:left w:val="nil"/>
              <w:bottom w:val="nil"/>
              <w:right w:val="single" w:sz="8" w:space="0" w:color="auto"/>
            </w:tcBorders>
            <w:shd w:val="clear" w:color="auto" w:fill="auto"/>
            <w:vAlign w:val="center"/>
            <w:hideMark/>
          </w:tcPr>
          <w:p w14:paraId="373470DC"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tCO</w:t>
            </w:r>
            <w:r w:rsidRPr="00E123FE">
              <w:rPr>
                <w:rFonts w:ascii="Calibri" w:eastAsia="Times New Roman" w:hAnsi="Calibri" w:cs="Calibri"/>
                <w:color w:val="000000"/>
                <w:szCs w:val="24"/>
                <w:vertAlign w:val="subscript"/>
                <w:lang w:eastAsia="en-GB"/>
              </w:rPr>
              <w:t>2</w:t>
            </w:r>
            <w:r w:rsidRPr="00E123FE">
              <w:rPr>
                <w:rFonts w:ascii="Calibri" w:eastAsia="Times New Roman" w:hAnsi="Calibri" w:cs="Calibri"/>
                <w:color w:val="000000"/>
                <w:szCs w:val="24"/>
                <w:lang w:eastAsia="en-GB"/>
              </w:rPr>
              <w:t>e</w:t>
            </w:r>
          </w:p>
        </w:tc>
        <w:tc>
          <w:tcPr>
            <w:tcW w:w="1431" w:type="dxa"/>
            <w:tcBorders>
              <w:top w:val="nil"/>
              <w:left w:val="nil"/>
              <w:bottom w:val="single" w:sz="8" w:space="0" w:color="auto"/>
              <w:right w:val="single" w:sz="8" w:space="0" w:color="auto"/>
            </w:tcBorders>
            <w:shd w:val="clear" w:color="auto" w:fill="auto"/>
            <w:vAlign w:val="center"/>
            <w:hideMark/>
          </w:tcPr>
          <w:p w14:paraId="71DA7D90"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2,767</w:t>
            </w:r>
          </w:p>
        </w:tc>
        <w:tc>
          <w:tcPr>
            <w:tcW w:w="1431" w:type="dxa"/>
            <w:tcBorders>
              <w:top w:val="nil"/>
              <w:left w:val="nil"/>
              <w:bottom w:val="single" w:sz="8" w:space="0" w:color="auto"/>
              <w:right w:val="single" w:sz="8" w:space="0" w:color="auto"/>
            </w:tcBorders>
            <w:shd w:val="clear" w:color="auto" w:fill="auto"/>
            <w:vAlign w:val="center"/>
            <w:hideMark/>
          </w:tcPr>
          <w:p w14:paraId="660FEEC0"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2,739</w:t>
            </w:r>
          </w:p>
        </w:tc>
        <w:tc>
          <w:tcPr>
            <w:tcW w:w="1049" w:type="dxa"/>
            <w:tcBorders>
              <w:top w:val="nil"/>
              <w:left w:val="nil"/>
              <w:bottom w:val="single" w:sz="8" w:space="0" w:color="auto"/>
              <w:right w:val="nil"/>
            </w:tcBorders>
          </w:tcPr>
          <w:p w14:paraId="713BBD0E"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vAlign w:val="center"/>
            <w:hideMark/>
          </w:tcPr>
          <w:p w14:paraId="0C473C41" w14:textId="78D7288E"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2,522</w:t>
            </w:r>
          </w:p>
        </w:tc>
      </w:tr>
      <w:tr w:rsidR="005F43B2" w:rsidRPr="00E123FE" w14:paraId="21B5482E" w14:textId="77777777" w:rsidTr="006C6011">
        <w:trPr>
          <w:trHeight w:val="300"/>
          <w:jc w:val="center"/>
        </w:trPr>
        <w:tc>
          <w:tcPr>
            <w:tcW w:w="1500" w:type="dxa"/>
            <w:tcBorders>
              <w:top w:val="nil"/>
              <w:left w:val="single" w:sz="8" w:space="0" w:color="auto"/>
              <w:bottom w:val="single" w:sz="8" w:space="0" w:color="auto"/>
              <w:right w:val="single" w:sz="8" w:space="0" w:color="1C1F63" w:themeColor="text1"/>
            </w:tcBorders>
            <w:shd w:val="clear" w:color="auto" w:fill="005EB8"/>
          </w:tcPr>
          <w:p w14:paraId="6983A074" w14:textId="77777777" w:rsidR="005F43B2" w:rsidRPr="00E123FE" w:rsidRDefault="005F43B2" w:rsidP="007B44BE">
            <w:pPr>
              <w:spacing w:after="0" w:line="240" w:lineRule="auto"/>
              <w:rPr>
                <w:rFonts w:ascii="Calibri" w:eastAsia="Times New Roman" w:hAnsi="Calibri" w:cs="Calibri"/>
                <w:b/>
                <w:bCs/>
                <w:color w:val="FFFFFF"/>
                <w:szCs w:val="24"/>
                <w:lang w:eastAsia="en-GB"/>
              </w:rPr>
            </w:pPr>
          </w:p>
        </w:tc>
        <w:tc>
          <w:tcPr>
            <w:tcW w:w="10022" w:type="dxa"/>
            <w:gridSpan w:val="6"/>
            <w:tcBorders>
              <w:top w:val="nil"/>
              <w:left w:val="single" w:sz="8" w:space="0" w:color="auto"/>
              <w:bottom w:val="single" w:sz="8" w:space="0" w:color="auto"/>
              <w:right w:val="single" w:sz="8" w:space="0" w:color="1C1F63" w:themeColor="text1"/>
            </w:tcBorders>
            <w:shd w:val="clear" w:color="auto" w:fill="005EB8"/>
            <w:noWrap/>
            <w:vAlign w:val="center"/>
            <w:hideMark/>
          </w:tcPr>
          <w:p w14:paraId="492B6B04" w14:textId="37EF119E" w:rsidR="005F43B2" w:rsidRPr="00E123FE" w:rsidRDefault="005F43B2" w:rsidP="007B44BE">
            <w:pPr>
              <w:spacing w:after="0" w:line="240" w:lineRule="auto"/>
              <w:rPr>
                <w:rFonts w:ascii="Calibri" w:eastAsia="Times New Roman" w:hAnsi="Calibri" w:cs="Calibri"/>
                <w:b/>
                <w:bCs/>
                <w:color w:val="FFFFFF"/>
                <w:szCs w:val="24"/>
                <w:lang w:eastAsia="en-GB"/>
              </w:rPr>
            </w:pPr>
            <w:r w:rsidRPr="00E123FE">
              <w:rPr>
                <w:rFonts w:ascii="Calibri" w:eastAsia="Times New Roman" w:hAnsi="Calibri" w:cs="Calibri"/>
                <w:b/>
                <w:bCs/>
                <w:color w:val="FFFFFF"/>
                <w:szCs w:val="24"/>
                <w:lang w:eastAsia="en-GB"/>
              </w:rPr>
              <w:t xml:space="preserve">Water </w:t>
            </w:r>
          </w:p>
        </w:tc>
      </w:tr>
      <w:tr w:rsidR="005F43B2" w:rsidRPr="00E123FE" w14:paraId="666AACB7" w14:textId="77777777" w:rsidTr="00D96967">
        <w:trPr>
          <w:trHeight w:val="30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29ECA61"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Water volume</w:t>
            </w:r>
          </w:p>
        </w:tc>
        <w:tc>
          <w:tcPr>
            <w:tcW w:w="960" w:type="dxa"/>
            <w:tcBorders>
              <w:top w:val="nil"/>
              <w:left w:val="nil"/>
              <w:bottom w:val="single" w:sz="8" w:space="0" w:color="auto"/>
              <w:right w:val="single" w:sz="8" w:space="0" w:color="auto"/>
            </w:tcBorders>
            <w:shd w:val="clear" w:color="auto" w:fill="auto"/>
            <w:noWrap/>
            <w:vAlign w:val="center"/>
            <w:hideMark/>
          </w:tcPr>
          <w:p w14:paraId="60C6B185"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m3</w:t>
            </w:r>
          </w:p>
        </w:tc>
        <w:tc>
          <w:tcPr>
            <w:tcW w:w="1431" w:type="dxa"/>
            <w:tcBorders>
              <w:top w:val="nil"/>
              <w:left w:val="nil"/>
              <w:bottom w:val="single" w:sz="8" w:space="0" w:color="auto"/>
              <w:right w:val="single" w:sz="8" w:space="0" w:color="auto"/>
            </w:tcBorders>
            <w:shd w:val="clear" w:color="auto" w:fill="auto"/>
            <w:noWrap/>
            <w:vAlign w:val="center"/>
            <w:hideMark/>
          </w:tcPr>
          <w:p w14:paraId="419523B1"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692,744</w:t>
            </w:r>
          </w:p>
        </w:tc>
        <w:tc>
          <w:tcPr>
            <w:tcW w:w="1431" w:type="dxa"/>
            <w:tcBorders>
              <w:top w:val="nil"/>
              <w:left w:val="nil"/>
              <w:bottom w:val="single" w:sz="8" w:space="0" w:color="auto"/>
              <w:right w:val="single" w:sz="8" w:space="0" w:color="auto"/>
            </w:tcBorders>
            <w:shd w:val="clear" w:color="auto" w:fill="auto"/>
            <w:noWrap/>
            <w:vAlign w:val="center"/>
            <w:hideMark/>
          </w:tcPr>
          <w:p w14:paraId="1187181E"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625,348</w:t>
            </w:r>
          </w:p>
        </w:tc>
        <w:tc>
          <w:tcPr>
            <w:tcW w:w="1049" w:type="dxa"/>
            <w:tcBorders>
              <w:top w:val="nil"/>
              <w:left w:val="nil"/>
              <w:bottom w:val="single" w:sz="8" w:space="0" w:color="auto"/>
              <w:right w:val="nil"/>
            </w:tcBorders>
          </w:tcPr>
          <w:p w14:paraId="4AA3C5F4"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noWrap/>
            <w:vAlign w:val="center"/>
            <w:hideMark/>
          </w:tcPr>
          <w:p w14:paraId="06B4F013" w14:textId="4E23B356"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618,789</w:t>
            </w:r>
          </w:p>
        </w:tc>
      </w:tr>
      <w:tr w:rsidR="005F43B2" w:rsidRPr="00E123FE" w14:paraId="0208C755" w14:textId="77777777" w:rsidTr="00D96967">
        <w:trPr>
          <w:trHeight w:val="310"/>
          <w:jc w:val="center"/>
        </w:trPr>
        <w:tc>
          <w:tcPr>
            <w:tcW w:w="52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570E1F1"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Water volume and wastewater</w:t>
            </w:r>
          </w:p>
        </w:tc>
        <w:tc>
          <w:tcPr>
            <w:tcW w:w="960" w:type="dxa"/>
            <w:tcBorders>
              <w:top w:val="nil"/>
              <w:left w:val="nil"/>
              <w:bottom w:val="single" w:sz="8" w:space="0" w:color="auto"/>
              <w:right w:val="single" w:sz="8" w:space="0" w:color="auto"/>
            </w:tcBorders>
            <w:shd w:val="clear" w:color="auto" w:fill="auto"/>
            <w:noWrap/>
            <w:vAlign w:val="center"/>
            <w:hideMark/>
          </w:tcPr>
          <w:p w14:paraId="76989EE2" w14:textId="77777777" w:rsidR="005F43B2" w:rsidRPr="00E123FE" w:rsidRDefault="005F43B2" w:rsidP="007B44BE">
            <w:pPr>
              <w:spacing w:after="0" w:line="240" w:lineRule="auto"/>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tCO</w:t>
            </w:r>
            <w:r w:rsidRPr="00E123FE">
              <w:rPr>
                <w:rFonts w:ascii="Calibri" w:eastAsia="Times New Roman" w:hAnsi="Calibri" w:cs="Calibri"/>
                <w:color w:val="000000"/>
                <w:szCs w:val="24"/>
                <w:vertAlign w:val="subscript"/>
                <w:lang w:eastAsia="en-GB"/>
              </w:rPr>
              <w:t>2</w:t>
            </w:r>
            <w:r w:rsidRPr="00E123FE">
              <w:rPr>
                <w:rFonts w:ascii="Calibri" w:eastAsia="Times New Roman" w:hAnsi="Calibri" w:cs="Calibri"/>
                <w:color w:val="000000"/>
                <w:szCs w:val="24"/>
                <w:lang w:eastAsia="en-GB"/>
              </w:rPr>
              <w:t>e</w:t>
            </w:r>
          </w:p>
        </w:tc>
        <w:tc>
          <w:tcPr>
            <w:tcW w:w="1431" w:type="dxa"/>
            <w:tcBorders>
              <w:top w:val="nil"/>
              <w:left w:val="nil"/>
              <w:bottom w:val="single" w:sz="8" w:space="0" w:color="auto"/>
              <w:right w:val="single" w:sz="8" w:space="0" w:color="auto"/>
            </w:tcBorders>
            <w:shd w:val="clear" w:color="auto" w:fill="auto"/>
            <w:noWrap/>
            <w:vAlign w:val="center"/>
            <w:hideMark/>
          </w:tcPr>
          <w:p w14:paraId="5814371E"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282</w:t>
            </w:r>
          </w:p>
        </w:tc>
        <w:tc>
          <w:tcPr>
            <w:tcW w:w="1431" w:type="dxa"/>
            <w:tcBorders>
              <w:top w:val="nil"/>
              <w:left w:val="nil"/>
              <w:bottom w:val="single" w:sz="8" w:space="0" w:color="auto"/>
              <w:right w:val="single" w:sz="8" w:space="0" w:color="auto"/>
            </w:tcBorders>
            <w:shd w:val="clear" w:color="auto" w:fill="auto"/>
            <w:noWrap/>
            <w:vAlign w:val="center"/>
            <w:hideMark/>
          </w:tcPr>
          <w:p w14:paraId="1A934CD9"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251</w:t>
            </w:r>
          </w:p>
        </w:tc>
        <w:tc>
          <w:tcPr>
            <w:tcW w:w="1049" w:type="dxa"/>
            <w:tcBorders>
              <w:top w:val="nil"/>
              <w:left w:val="nil"/>
              <w:bottom w:val="single" w:sz="8" w:space="0" w:color="auto"/>
              <w:right w:val="nil"/>
            </w:tcBorders>
          </w:tcPr>
          <w:p w14:paraId="1EC0DF12" w14:textId="77777777" w:rsidR="005F43B2" w:rsidRPr="00E123FE" w:rsidRDefault="005F43B2" w:rsidP="007B44BE">
            <w:pPr>
              <w:spacing w:after="0" w:line="240" w:lineRule="auto"/>
              <w:jc w:val="right"/>
              <w:rPr>
                <w:rFonts w:ascii="Calibri" w:eastAsia="Times New Roman" w:hAnsi="Calibri" w:cs="Calibri"/>
                <w:color w:val="000000"/>
                <w:szCs w:val="24"/>
                <w:lang w:eastAsia="en-GB"/>
              </w:rPr>
            </w:pPr>
          </w:p>
        </w:tc>
        <w:tc>
          <w:tcPr>
            <w:tcW w:w="1431" w:type="dxa"/>
            <w:tcBorders>
              <w:top w:val="nil"/>
              <w:left w:val="nil"/>
              <w:bottom w:val="single" w:sz="8" w:space="0" w:color="auto"/>
              <w:right w:val="single" w:sz="8" w:space="0" w:color="auto"/>
            </w:tcBorders>
            <w:shd w:val="clear" w:color="auto" w:fill="auto"/>
            <w:noWrap/>
            <w:vAlign w:val="center"/>
            <w:hideMark/>
          </w:tcPr>
          <w:p w14:paraId="1FF7D73B" w14:textId="28534D15" w:rsidR="005F43B2" w:rsidRPr="00E123FE" w:rsidRDefault="005F43B2" w:rsidP="007B44BE">
            <w:pPr>
              <w:spacing w:after="0" w:line="240" w:lineRule="auto"/>
              <w:jc w:val="right"/>
              <w:rPr>
                <w:rFonts w:ascii="Calibri" w:eastAsia="Times New Roman" w:hAnsi="Calibri" w:cs="Calibri"/>
                <w:color w:val="000000"/>
                <w:szCs w:val="24"/>
                <w:lang w:eastAsia="en-GB"/>
              </w:rPr>
            </w:pPr>
            <w:r w:rsidRPr="00E123FE">
              <w:rPr>
                <w:rFonts w:ascii="Calibri" w:eastAsia="Times New Roman" w:hAnsi="Calibri" w:cs="Calibri"/>
                <w:color w:val="000000"/>
                <w:szCs w:val="24"/>
                <w:lang w:eastAsia="en-GB"/>
              </w:rPr>
              <w:t>264</w:t>
            </w:r>
          </w:p>
        </w:tc>
      </w:tr>
    </w:tbl>
    <w:p w14:paraId="39944754" w14:textId="52C485C6" w:rsidR="00732D62" w:rsidRDefault="00732D62" w:rsidP="00732D62">
      <w:pPr>
        <w:pStyle w:val="Caption"/>
        <w:jc w:val="center"/>
      </w:pPr>
      <w:r>
        <w:t xml:space="preserve">Figure </w:t>
      </w:r>
      <w:r w:rsidR="009E52F9">
        <w:t>5</w:t>
      </w:r>
      <w:r>
        <w:t xml:space="preserve"> Acute Trusts carbon emissions</w:t>
      </w:r>
    </w:p>
    <w:p w14:paraId="1DB6B6F3" w14:textId="77777777" w:rsidR="00D96967" w:rsidRDefault="00D96967" w:rsidP="00FE493C">
      <w:pPr>
        <w:spacing w:before="100" w:beforeAutospacing="1" w:after="100" w:afterAutospacing="1" w:line="240" w:lineRule="auto"/>
        <w:contextualSpacing/>
        <w:rPr>
          <w:rFonts w:cs="Arial"/>
        </w:rPr>
      </w:pPr>
    </w:p>
    <w:p w14:paraId="4CEDC113" w14:textId="77777777" w:rsidR="00D96967" w:rsidRDefault="00D96967" w:rsidP="00FE493C">
      <w:pPr>
        <w:spacing w:before="100" w:beforeAutospacing="1" w:after="100" w:afterAutospacing="1" w:line="240" w:lineRule="auto"/>
        <w:contextualSpacing/>
        <w:rPr>
          <w:rFonts w:cs="Arial"/>
        </w:rPr>
      </w:pPr>
    </w:p>
    <w:p w14:paraId="2F9B12E8" w14:textId="77777777" w:rsidR="00D96967" w:rsidRDefault="00D96967" w:rsidP="00FE493C">
      <w:pPr>
        <w:spacing w:before="100" w:beforeAutospacing="1" w:after="100" w:afterAutospacing="1" w:line="240" w:lineRule="auto"/>
        <w:contextualSpacing/>
        <w:rPr>
          <w:rFonts w:cs="Arial"/>
        </w:rPr>
      </w:pPr>
    </w:p>
    <w:p w14:paraId="5598590E" w14:textId="77777777" w:rsidR="00D96967" w:rsidRDefault="00D96967" w:rsidP="00FE493C">
      <w:pPr>
        <w:spacing w:before="100" w:beforeAutospacing="1" w:after="100" w:afterAutospacing="1" w:line="240" w:lineRule="auto"/>
        <w:contextualSpacing/>
        <w:rPr>
          <w:rFonts w:cs="Arial"/>
        </w:rPr>
      </w:pPr>
    </w:p>
    <w:p w14:paraId="40D0F33F" w14:textId="77777777" w:rsidR="00D96967" w:rsidRDefault="00D96967" w:rsidP="00FE493C">
      <w:pPr>
        <w:spacing w:before="100" w:beforeAutospacing="1" w:after="100" w:afterAutospacing="1" w:line="240" w:lineRule="auto"/>
        <w:contextualSpacing/>
        <w:rPr>
          <w:rFonts w:cs="Arial"/>
        </w:rPr>
      </w:pPr>
    </w:p>
    <w:p w14:paraId="36B6129B" w14:textId="77777777" w:rsidR="00D96967" w:rsidRDefault="00D96967" w:rsidP="00FE493C">
      <w:pPr>
        <w:spacing w:before="100" w:beforeAutospacing="1" w:after="100" w:afterAutospacing="1" w:line="240" w:lineRule="auto"/>
        <w:contextualSpacing/>
        <w:rPr>
          <w:rFonts w:cs="Arial"/>
        </w:rPr>
      </w:pPr>
    </w:p>
    <w:p w14:paraId="1C7B967C" w14:textId="77777777" w:rsidR="00D96967" w:rsidRDefault="00D96967" w:rsidP="00FE493C">
      <w:pPr>
        <w:spacing w:before="100" w:beforeAutospacing="1" w:after="100" w:afterAutospacing="1" w:line="240" w:lineRule="auto"/>
        <w:contextualSpacing/>
        <w:rPr>
          <w:rFonts w:cs="Arial"/>
        </w:rPr>
      </w:pPr>
    </w:p>
    <w:p w14:paraId="211712C9" w14:textId="77777777" w:rsidR="00D96967" w:rsidRDefault="00D96967" w:rsidP="00FE493C">
      <w:pPr>
        <w:spacing w:before="100" w:beforeAutospacing="1" w:after="100" w:afterAutospacing="1" w:line="240" w:lineRule="auto"/>
        <w:contextualSpacing/>
        <w:rPr>
          <w:rFonts w:cs="Arial"/>
        </w:rPr>
      </w:pPr>
    </w:p>
    <w:p w14:paraId="4F7F435E" w14:textId="3034F500" w:rsidR="00FE493C" w:rsidRDefault="00FE493C" w:rsidP="00FE493C">
      <w:pPr>
        <w:spacing w:before="100" w:beforeAutospacing="1" w:after="100" w:afterAutospacing="1" w:line="240" w:lineRule="auto"/>
        <w:contextualSpacing/>
        <w:rPr>
          <w:rFonts w:cs="Arial"/>
        </w:rPr>
      </w:pPr>
      <w:r>
        <w:rPr>
          <w:rFonts w:cs="Arial"/>
        </w:rPr>
        <w:t xml:space="preserve">As of July 2024, we have 5 years and 5 months left to achieve net zero carbon goal to avoid the worst impacts of climate change hitting our health system. The figure below shows the future carbon taxation cost of our carbon footprint and how that reduces </w:t>
      </w:r>
      <w:r w:rsidR="00FB3BEC">
        <w:rPr>
          <w:rFonts w:cs="Arial"/>
        </w:rPr>
        <w:t>with</w:t>
      </w:r>
      <w:r w:rsidR="00977FF7">
        <w:rPr>
          <w:rFonts w:cs="Arial"/>
        </w:rPr>
        <w:t xml:space="preserve"> </w:t>
      </w:r>
      <w:r w:rsidR="00FB3BEC">
        <w:rPr>
          <w:rFonts w:cs="Arial"/>
        </w:rPr>
        <w:t xml:space="preserve">our </w:t>
      </w:r>
      <w:r w:rsidR="00E8504A">
        <w:rPr>
          <w:rFonts w:cs="Arial"/>
        </w:rPr>
        <w:t xml:space="preserve">carbon reduction </w:t>
      </w:r>
      <w:r w:rsidR="00FB3BEC">
        <w:rPr>
          <w:rFonts w:cs="Arial"/>
        </w:rPr>
        <w:t>trajectory</w:t>
      </w:r>
      <w:r>
        <w:rPr>
          <w:rFonts w:cs="Arial"/>
        </w:rPr>
        <w:t xml:space="preserve">. </w:t>
      </w:r>
      <w:r w:rsidR="002E168C">
        <w:rPr>
          <w:rFonts w:cs="Arial"/>
        </w:rPr>
        <w:t>This takes our deliver</w:t>
      </w:r>
      <w:r w:rsidR="009F6220">
        <w:rPr>
          <w:rFonts w:cs="Arial"/>
        </w:rPr>
        <w:t>y</w:t>
      </w:r>
      <w:r w:rsidR="002E168C">
        <w:rPr>
          <w:rFonts w:cs="Arial"/>
        </w:rPr>
        <w:t xml:space="preserve"> plan</w:t>
      </w:r>
      <w:r w:rsidR="00796798">
        <w:rPr>
          <w:rFonts w:cs="Arial"/>
        </w:rPr>
        <w:t xml:space="preserve"> carbon reduction</w:t>
      </w:r>
      <w:r w:rsidR="002E168C">
        <w:rPr>
          <w:rFonts w:cs="Arial"/>
        </w:rPr>
        <w:t xml:space="preserve"> trajectory o</w:t>
      </w:r>
      <w:r w:rsidR="00D2734A">
        <w:rPr>
          <w:rFonts w:cs="Arial"/>
        </w:rPr>
        <w:t>n</w:t>
      </w:r>
      <w:r w:rsidR="009F6220">
        <w:rPr>
          <w:rFonts w:cs="Arial"/>
        </w:rPr>
        <w:t xml:space="preserve"> the ICS carbon</w:t>
      </w:r>
      <w:r w:rsidR="002E168C">
        <w:rPr>
          <w:rFonts w:cs="Arial"/>
        </w:rPr>
        <w:t xml:space="preserve"> </w:t>
      </w:r>
      <w:r>
        <w:rPr>
          <w:rFonts w:cs="Arial"/>
        </w:rPr>
        <w:t xml:space="preserve">footprint from NHS England </w:t>
      </w:r>
      <w:proofErr w:type="gramStart"/>
      <w:r w:rsidR="009F6220">
        <w:rPr>
          <w:rFonts w:cs="Arial"/>
        </w:rPr>
        <w:t>data</w:t>
      </w:r>
      <w:proofErr w:type="gramEnd"/>
      <w:r>
        <w:rPr>
          <w:rFonts w:cs="Arial"/>
        </w:rPr>
        <w:t xml:space="preserve"> and we have applied Treasury guidance to show the abatement cost of carbon for our system.</w:t>
      </w:r>
    </w:p>
    <w:p w14:paraId="645991F9" w14:textId="77777777" w:rsidR="00A15E57" w:rsidRDefault="00A15E57" w:rsidP="00FE493C">
      <w:pPr>
        <w:spacing w:before="100" w:beforeAutospacing="1" w:after="100" w:afterAutospacing="1" w:line="240" w:lineRule="auto"/>
        <w:contextualSpacing/>
        <w:rPr>
          <w:rFonts w:cs="Arial"/>
        </w:rPr>
      </w:pPr>
    </w:p>
    <w:p w14:paraId="0B8526E7" w14:textId="77777777" w:rsidR="00A15E57" w:rsidRDefault="00A15E57" w:rsidP="00FE493C">
      <w:pPr>
        <w:spacing w:before="100" w:beforeAutospacing="1" w:after="100" w:afterAutospacing="1" w:line="240" w:lineRule="auto"/>
        <w:contextualSpacing/>
        <w:rPr>
          <w:rFonts w:cs="Arial"/>
        </w:rPr>
      </w:pPr>
    </w:p>
    <w:p w14:paraId="60485E48" w14:textId="658791B3" w:rsidR="00FE493C" w:rsidRDefault="00A15E57" w:rsidP="00FE493C">
      <w:r>
        <w:rPr>
          <w:noProof/>
        </w:rPr>
        <w:drawing>
          <wp:inline distT="0" distB="0" distL="0" distR="0" wp14:anchorId="1CED69D4" wp14:editId="0F64B418">
            <wp:extent cx="6635750" cy="3257550"/>
            <wp:effectExtent l="0" t="0" r="12700" b="0"/>
            <wp:docPr id="3" name="Chart 3" descr="Stacked line graph demonstrating the trajectory for carbon abatement cost in millions of pounds per annum for each key carbon emission sector per financial year from 2023-2030 benchmarked against the trajectory for unfunded buildings and energy projects. ">
              <a:extLst xmlns:a="http://schemas.openxmlformats.org/drawingml/2006/main">
                <a:ext uri="{FF2B5EF4-FFF2-40B4-BE49-F238E27FC236}">
                  <a16:creationId xmlns:a16="http://schemas.microsoft.com/office/drawing/2014/main" id="{0FBB2003-5481-4138-B718-02804AD30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ADF9B6" w14:textId="2289B01D" w:rsidR="00FE493C" w:rsidRPr="00AC4EEF" w:rsidRDefault="00FE493C" w:rsidP="00FE493C">
      <w:pPr>
        <w:pStyle w:val="Caption"/>
        <w:jc w:val="center"/>
        <w:rPr>
          <w:rFonts w:ascii="Arial" w:eastAsia="Times New Roman" w:hAnsi="Arial" w:cs="Arial"/>
          <w:sz w:val="24"/>
          <w:szCs w:val="24"/>
          <w:lang w:eastAsia="en-GB"/>
        </w:rPr>
      </w:pPr>
      <w:r>
        <w:t xml:space="preserve">Figure </w:t>
      </w:r>
      <w:r w:rsidR="009E52F9">
        <w:t>6</w:t>
      </w:r>
      <w:r>
        <w:t xml:space="preserve"> Carbon abatement cost </w:t>
      </w:r>
      <w:r w:rsidR="00EE5EB8">
        <w:t>for ICS carbon trajectory</w:t>
      </w:r>
    </w:p>
    <w:p w14:paraId="31B210F9" w14:textId="77777777" w:rsidR="00A15E57" w:rsidRDefault="00A15E57" w:rsidP="00E123FE">
      <w:pPr>
        <w:rPr>
          <w:rFonts w:cs="Arial"/>
        </w:rPr>
      </w:pPr>
    </w:p>
    <w:p w14:paraId="7010A44F" w14:textId="0E321090" w:rsidR="00E123FE" w:rsidRPr="00E123FE" w:rsidRDefault="00DB78E9" w:rsidP="00E123FE">
      <w:r>
        <w:rPr>
          <w:rFonts w:cs="Arial"/>
        </w:rPr>
        <w:t xml:space="preserve">A summary of progress </w:t>
      </w:r>
      <w:r w:rsidR="005C5E23">
        <w:rPr>
          <w:rFonts w:cs="Arial"/>
        </w:rPr>
        <w:t xml:space="preserve">with the main workstreams </w:t>
      </w:r>
      <w:r>
        <w:rPr>
          <w:rFonts w:cs="Arial"/>
        </w:rPr>
        <w:t>is set out in the sections below</w:t>
      </w:r>
      <w:r w:rsidR="005C5E23">
        <w:rPr>
          <w:rFonts w:cs="Arial"/>
        </w:rPr>
        <w:t>.</w:t>
      </w:r>
    </w:p>
    <w:p w14:paraId="266BE9D1" w14:textId="78C18F60" w:rsidR="00F52F6E" w:rsidRDefault="00DF786E" w:rsidP="002C2422">
      <w:pPr>
        <w:pStyle w:val="Subtitle"/>
        <w:rPr>
          <w:sz w:val="28"/>
          <w:szCs w:val="28"/>
        </w:rPr>
      </w:pPr>
      <w:r w:rsidRPr="00E123FE">
        <w:rPr>
          <w:sz w:val="28"/>
          <w:szCs w:val="28"/>
        </w:rPr>
        <w:t>2.1</w:t>
      </w:r>
      <w:r w:rsidR="00CC6536" w:rsidRPr="00E123FE">
        <w:rPr>
          <w:sz w:val="28"/>
          <w:szCs w:val="28"/>
        </w:rPr>
        <w:t xml:space="preserve"> </w:t>
      </w:r>
      <w:r w:rsidR="00946A6A">
        <w:rPr>
          <w:sz w:val="28"/>
          <w:szCs w:val="28"/>
        </w:rPr>
        <w:t>Progress</w:t>
      </w:r>
    </w:p>
    <w:p w14:paraId="7A19D7C4" w14:textId="2B5D8D30" w:rsidR="00622479" w:rsidRPr="007E2961" w:rsidRDefault="00622479" w:rsidP="00622479">
      <w:pPr>
        <w:rPr>
          <w:rFonts w:cs="Arial"/>
          <w:color w:val="0D0D0D"/>
        </w:rPr>
      </w:pPr>
      <w:r>
        <w:rPr>
          <w:rFonts w:cs="Arial"/>
        </w:rPr>
        <w:t>System wide</w:t>
      </w:r>
      <w:r w:rsidRPr="007E2961">
        <w:rPr>
          <w:rFonts w:cs="Arial"/>
          <w:color w:val="0D0D0D"/>
          <w:shd w:val="clear" w:color="auto" w:fill="FFFFFF"/>
        </w:rPr>
        <w:t xml:space="preserve"> collaboration</w:t>
      </w:r>
      <w:r>
        <w:rPr>
          <w:rFonts w:cs="Arial"/>
          <w:color w:val="0D0D0D"/>
          <w:shd w:val="clear" w:color="auto" w:fill="FFFFFF"/>
        </w:rPr>
        <w:t xml:space="preserve"> on sustainability has been driven by the ICB, </w:t>
      </w:r>
      <w:r w:rsidRPr="007E2961">
        <w:rPr>
          <w:rFonts w:cs="Arial"/>
          <w:color w:val="0D0D0D"/>
          <w:shd w:val="clear" w:color="auto" w:fill="FFFFFF"/>
        </w:rPr>
        <w:t>this has been clearly exhibited in developing the system capital prioritisation process. Th</w:t>
      </w:r>
      <w:r w:rsidRPr="0DB35FEC">
        <w:rPr>
          <w:rFonts w:cs="Arial"/>
          <w:color w:val="202372" w:themeColor="text1" w:themeTint="F2"/>
        </w:rPr>
        <w:t>e IC</w:t>
      </w:r>
      <w:r w:rsidR="00C72B3E">
        <w:rPr>
          <w:rFonts w:cs="Arial"/>
          <w:color w:val="202372" w:themeColor="text1" w:themeTint="F2"/>
        </w:rPr>
        <w:t>S</w:t>
      </w:r>
      <w:r w:rsidRPr="007E2961">
        <w:rPr>
          <w:rFonts w:cs="Arial"/>
          <w:color w:val="0D0D0D"/>
          <w:shd w:val="clear" w:color="auto" w:fill="FFFFFF"/>
        </w:rPr>
        <w:t xml:space="preserve"> has recognised the importance of net zero </w:t>
      </w:r>
      <w:r w:rsidRPr="1D4CBE35">
        <w:rPr>
          <w:rFonts w:cs="Arial"/>
          <w:color w:val="202372" w:themeColor="text1" w:themeTint="F2"/>
        </w:rPr>
        <w:t xml:space="preserve">by </w:t>
      </w:r>
      <w:r w:rsidRPr="007E2961">
        <w:rPr>
          <w:rFonts w:cs="Arial"/>
          <w:color w:val="0D0D0D"/>
          <w:shd w:val="clear" w:color="auto" w:fill="FFFFFF"/>
        </w:rPr>
        <w:t>embedding it in th</w:t>
      </w:r>
      <w:r w:rsidRPr="1D4CBE35">
        <w:rPr>
          <w:rFonts w:cs="Arial"/>
          <w:color w:val="202372" w:themeColor="text1" w:themeTint="F2"/>
        </w:rPr>
        <w:t>is</w:t>
      </w:r>
      <w:r w:rsidRPr="007E2961">
        <w:rPr>
          <w:rFonts w:cs="Arial"/>
          <w:color w:val="0D0D0D"/>
          <w:shd w:val="clear" w:color="auto" w:fill="FFFFFF"/>
        </w:rPr>
        <w:t xml:space="preserve"> process </w:t>
      </w:r>
      <w:r w:rsidRPr="007E2961">
        <w:rPr>
          <w:rFonts w:cs="Arial"/>
        </w:rPr>
        <w:t>and committing 10% of system capital in 2024/25 to a decarbonisation fund which partners can bid for and is overseen by the Green Plan Steering Group.</w:t>
      </w:r>
    </w:p>
    <w:p w14:paraId="4C7769D9" w14:textId="20B31D6D" w:rsidR="00622479" w:rsidRPr="007E2961" w:rsidRDefault="00622479" w:rsidP="00622479">
      <w:pPr>
        <w:rPr>
          <w:rFonts w:cs="Arial"/>
          <w:color w:val="0D0D0D"/>
        </w:rPr>
      </w:pPr>
      <w:r w:rsidRPr="007E2961">
        <w:rPr>
          <w:rFonts w:cs="Arial"/>
          <w:color w:val="0D0D0D"/>
          <w:shd w:val="clear" w:color="auto" w:fill="FFFFFF"/>
        </w:rPr>
        <w:t>The IC</w:t>
      </w:r>
      <w:r w:rsidR="003C693B">
        <w:rPr>
          <w:rFonts w:cs="Arial"/>
          <w:color w:val="0D0D0D"/>
          <w:shd w:val="clear" w:color="auto" w:fill="FFFFFF"/>
        </w:rPr>
        <w:t>S</w:t>
      </w:r>
      <w:r w:rsidRPr="007E2961">
        <w:rPr>
          <w:rFonts w:cs="Arial"/>
          <w:color w:val="0D0D0D"/>
          <w:shd w:val="clear" w:color="auto" w:fill="FFFFFF"/>
        </w:rPr>
        <w:t xml:space="preserve"> has incorporated a Sustainability Impact Assessment and carbon cost calculator into its project management gateway process ensuring net zero economic impact and social value are considered.</w:t>
      </w:r>
    </w:p>
    <w:p w14:paraId="1C247630" w14:textId="7C1C7A65" w:rsidR="00622479" w:rsidRPr="007E2961" w:rsidRDefault="00622479" w:rsidP="00622479">
      <w:pPr>
        <w:rPr>
          <w:rFonts w:cs="Arial"/>
          <w:color w:val="0D0D0D"/>
        </w:rPr>
      </w:pPr>
      <w:r w:rsidRPr="007E2961">
        <w:rPr>
          <w:rFonts w:cs="Arial"/>
          <w:color w:val="0D0D0D"/>
          <w:shd w:val="clear" w:color="auto" w:fill="FFFFFF"/>
        </w:rPr>
        <w:t>The IC</w:t>
      </w:r>
      <w:r w:rsidR="003C693B">
        <w:rPr>
          <w:rFonts w:cs="Arial"/>
          <w:color w:val="0D0D0D"/>
          <w:shd w:val="clear" w:color="auto" w:fill="FFFFFF"/>
        </w:rPr>
        <w:t>S</w:t>
      </w:r>
      <w:r w:rsidRPr="007E2961">
        <w:rPr>
          <w:rFonts w:cs="Arial"/>
          <w:color w:val="0D0D0D"/>
          <w:shd w:val="clear" w:color="auto" w:fill="FFFFFF"/>
        </w:rPr>
        <w:t xml:space="preserve"> has embedded sustainability into the system strategic planning process with the Joint Forward Plan development requiring all areas to include how their plans contribute to the Green Plan. Net zero is a crucial inclusion in the emerging ICS infrastructure strategy.</w:t>
      </w:r>
    </w:p>
    <w:p w14:paraId="33C44DB9" w14:textId="0C4B8C6F" w:rsidR="00616314" w:rsidRPr="00946A6A" w:rsidRDefault="00616314" w:rsidP="00946A6A">
      <w:r>
        <w:lastRenderedPageBreak/>
        <w:t xml:space="preserve">The following section provides </w:t>
      </w:r>
      <w:r w:rsidR="00C6278E">
        <w:t>a summary</w:t>
      </w:r>
      <w:r>
        <w:t xml:space="preserve"> of </w:t>
      </w:r>
      <w:r w:rsidR="004E5BB6">
        <w:t xml:space="preserve">the progress made in our </w:t>
      </w:r>
      <w:r w:rsidR="00894CF1">
        <w:t>main</w:t>
      </w:r>
      <w:r w:rsidR="004E5BB6">
        <w:t xml:space="preserve"> workstreams</w:t>
      </w:r>
      <w:r w:rsidR="000615A1">
        <w:t xml:space="preserve"> giving further detail of the carbon trajectory </w:t>
      </w:r>
      <w:r w:rsidR="006B0D10">
        <w:t>for</w:t>
      </w:r>
      <w:r w:rsidR="008606BB">
        <w:t xml:space="preserve"> </w:t>
      </w:r>
      <w:r w:rsidR="00376000">
        <w:t xml:space="preserve">each </w:t>
      </w:r>
      <w:r w:rsidR="008606BB">
        <w:t>workstream</w:t>
      </w:r>
      <w:r w:rsidR="006B0D10">
        <w:t>’s key</w:t>
      </w:r>
      <w:r w:rsidR="008606BB">
        <w:t xml:space="preserve"> </w:t>
      </w:r>
      <w:r w:rsidR="006A56BD">
        <w:t xml:space="preserve">target </w:t>
      </w:r>
      <w:r w:rsidR="008606BB">
        <w:t xml:space="preserve">actions </w:t>
      </w:r>
      <w:r w:rsidR="00D50E7F">
        <w:t>from</w:t>
      </w:r>
      <w:r w:rsidR="008606BB">
        <w:t xml:space="preserve"> the delivery plan</w:t>
      </w:r>
      <w:r w:rsidR="006A56BD">
        <w:t xml:space="preserve">. The progress made against these actions and </w:t>
      </w:r>
      <w:r w:rsidR="005C1664">
        <w:t xml:space="preserve">the focus </w:t>
      </w:r>
      <w:r w:rsidR="000A6069">
        <w:t xml:space="preserve">for the </w:t>
      </w:r>
      <w:proofErr w:type="gramStart"/>
      <w:r w:rsidR="000A6069">
        <w:t>future</w:t>
      </w:r>
      <w:proofErr w:type="gramEnd"/>
      <w:r w:rsidR="000A6069">
        <w:t xml:space="preserve"> </w:t>
      </w:r>
    </w:p>
    <w:p w14:paraId="369D1FA0" w14:textId="5BFA281C" w:rsidR="000F1895" w:rsidRPr="000F1895" w:rsidRDefault="00A95C18" w:rsidP="00ED0ED5">
      <w:pPr>
        <w:pStyle w:val="Subtitle"/>
      </w:pPr>
      <w:r>
        <w:t>2.1.1 Buildings and Energy</w:t>
      </w:r>
    </w:p>
    <w:p w14:paraId="1632A79F" w14:textId="55148C68" w:rsidR="00861F39" w:rsidRPr="0087315D" w:rsidRDefault="00861F39" w:rsidP="00861F39">
      <w:pPr>
        <w:rPr>
          <w:rFonts w:cs="Arial"/>
          <w:b/>
          <w:bCs/>
          <w:color w:val="15174A" w:themeColor="accent1" w:themeShade="BF"/>
          <w:szCs w:val="24"/>
        </w:rPr>
      </w:pPr>
      <w:r w:rsidRPr="0087315D">
        <w:rPr>
          <w:rFonts w:cs="Arial"/>
        </w:rPr>
        <w:t xml:space="preserve">To sustainably achieve net zero carbon emissions by 2030, our </w:t>
      </w:r>
      <w:r>
        <w:rPr>
          <w:rFonts w:cs="Arial"/>
        </w:rPr>
        <w:t>energy</w:t>
      </w:r>
      <w:r w:rsidRPr="0087315D">
        <w:rPr>
          <w:rFonts w:cs="Arial"/>
        </w:rPr>
        <w:t xml:space="preserve"> consumption will need to substantially reduce and </w:t>
      </w:r>
      <w:r>
        <w:rPr>
          <w:rFonts w:cs="Arial"/>
        </w:rPr>
        <w:t>remove</w:t>
      </w:r>
      <w:r w:rsidRPr="0087315D">
        <w:rPr>
          <w:rFonts w:cs="Arial"/>
        </w:rPr>
        <w:t xml:space="preserve"> fossil fuels</w:t>
      </w:r>
      <w:r>
        <w:rPr>
          <w:rFonts w:cs="Arial"/>
        </w:rPr>
        <w:t xml:space="preserve"> use</w:t>
      </w:r>
      <w:r w:rsidRPr="0087315D">
        <w:rPr>
          <w:rFonts w:cs="Arial"/>
        </w:rPr>
        <w:t xml:space="preserve">. All new building or refurbishment projects will need </w:t>
      </w:r>
      <w:r>
        <w:rPr>
          <w:rFonts w:cs="Arial"/>
        </w:rPr>
        <w:t xml:space="preserve">be designed for </w:t>
      </w:r>
      <w:r w:rsidRPr="0087315D">
        <w:rPr>
          <w:rFonts w:cs="Arial"/>
        </w:rPr>
        <w:t xml:space="preserve">zero or low carbon heating, solar PV panels, LED lighting etc). Our priority is to decarbonise our heating systems across the estate, following the direction taken </w:t>
      </w:r>
      <w:r>
        <w:rPr>
          <w:rFonts w:cs="Arial"/>
        </w:rPr>
        <w:t xml:space="preserve">by </w:t>
      </w:r>
      <w:r w:rsidRPr="0087315D">
        <w:rPr>
          <w:rFonts w:cs="Arial"/>
        </w:rPr>
        <w:t>NHS England.</w:t>
      </w:r>
      <w:r w:rsidR="00852464">
        <w:rPr>
          <w:rFonts w:cs="Arial"/>
        </w:rPr>
        <w:t xml:space="preserve"> The </w:t>
      </w:r>
      <w:r w:rsidR="00BA7A4B">
        <w:rPr>
          <w:rFonts w:cs="Arial"/>
        </w:rPr>
        <w:t xml:space="preserve">estimated </w:t>
      </w:r>
      <w:r w:rsidR="00852464">
        <w:rPr>
          <w:rFonts w:cs="Arial"/>
        </w:rPr>
        <w:t xml:space="preserve">cost to </w:t>
      </w:r>
      <w:r w:rsidR="00BA7A4B">
        <w:rPr>
          <w:rFonts w:cs="Arial"/>
        </w:rPr>
        <w:t xml:space="preserve">decarbonise our buildings and energy is £196m. The graph below shows </w:t>
      </w:r>
      <w:r w:rsidR="002726F6">
        <w:rPr>
          <w:rFonts w:cs="Arial"/>
        </w:rPr>
        <w:t>the effect on the carbon trajectory if external funding is not found for estate decarbonisation.</w:t>
      </w:r>
      <w:r w:rsidR="007F03FF">
        <w:rPr>
          <w:rFonts w:cs="Arial"/>
        </w:rPr>
        <w:t xml:space="preserve"> This represents a significant risk to the system as capital allocations are not sufficient to meet decarbonisation costs.</w:t>
      </w:r>
    </w:p>
    <w:p w14:paraId="7FF7ACCF" w14:textId="7C2277FC" w:rsidR="00E523DC" w:rsidRDefault="00E523DC" w:rsidP="00EA42D9"/>
    <w:p w14:paraId="2B557210" w14:textId="21A238CB" w:rsidR="00E523DC" w:rsidRDefault="00436A18" w:rsidP="00EA42D9">
      <w:r>
        <w:rPr>
          <w:noProof/>
        </w:rPr>
        <w:drawing>
          <wp:inline distT="0" distB="0" distL="0" distR="0" wp14:anchorId="688525D1" wp14:editId="67C709D2">
            <wp:extent cx="6190615" cy="2901950"/>
            <wp:effectExtent l="0" t="0" r="635" b="12700"/>
            <wp:docPr id="4" name="Chart 4" descr="Stacked line graph demonstrating the carbon trajectory for each financial year from 2023-2030 of key carbon reduction interventions related to water, energy efficiency improvements, ICS standard building specification, use of HVO, decarbonised heat and further action required. Benchmarked against unfunded projects. ">
              <a:extLst xmlns:a="http://schemas.openxmlformats.org/drawingml/2006/main">
                <a:ext uri="{FF2B5EF4-FFF2-40B4-BE49-F238E27FC236}">
                  <a16:creationId xmlns:a16="http://schemas.microsoft.com/office/drawing/2014/main" id="{28AECDDA-95E8-4AB9-A476-0D221BABA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Look w:val="04A0" w:firstRow="1" w:lastRow="0" w:firstColumn="1" w:lastColumn="0" w:noHBand="0" w:noVBand="1"/>
      </w:tblPr>
      <w:tblGrid>
        <w:gridCol w:w="1911"/>
        <w:gridCol w:w="7322"/>
        <w:gridCol w:w="506"/>
      </w:tblGrid>
      <w:tr w:rsidR="00CF1903" w14:paraId="45E93A23" w14:textId="77777777" w:rsidTr="007A43BE">
        <w:trPr>
          <w:cantSplit/>
          <w:trHeight w:val="1134"/>
        </w:trPr>
        <w:tc>
          <w:tcPr>
            <w:tcW w:w="1911" w:type="dxa"/>
          </w:tcPr>
          <w:p w14:paraId="4FFBC48E" w14:textId="0AC774BE" w:rsidR="00CF1903" w:rsidRDefault="003213EF" w:rsidP="00EA42D9">
            <w:r>
              <w:t>Target</w:t>
            </w:r>
          </w:p>
        </w:tc>
        <w:tc>
          <w:tcPr>
            <w:tcW w:w="7440" w:type="dxa"/>
          </w:tcPr>
          <w:p w14:paraId="08B068D6" w14:textId="1B3A0185" w:rsidR="00CF1903" w:rsidRDefault="003D7FBA" w:rsidP="00EA42D9">
            <w:r>
              <w:t>Progress</w:t>
            </w:r>
          </w:p>
        </w:tc>
        <w:tc>
          <w:tcPr>
            <w:tcW w:w="388" w:type="dxa"/>
            <w:textDirection w:val="btLr"/>
          </w:tcPr>
          <w:p w14:paraId="72B286C5" w14:textId="09C344FE" w:rsidR="00CF1903" w:rsidRDefault="00A007E3" w:rsidP="007A43BE">
            <w:pPr>
              <w:spacing w:after="0"/>
              <w:ind w:left="113" w:right="113"/>
            </w:pPr>
            <w:r>
              <w:t>RAG</w:t>
            </w:r>
          </w:p>
        </w:tc>
      </w:tr>
      <w:tr w:rsidR="00CF1903" w14:paraId="0E1357F9" w14:textId="77777777" w:rsidTr="007A43BE">
        <w:tc>
          <w:tcPr>
            <w:tcW w:w="1911" w:type="dxa"/>
          </w:tcPr>
          <w:p w14:paraId="1F68333F" w14:textId="30769125" w:rsidR="00CF1903" w:rsidRDefault="003213EF" w:rsidP="00EA42D9">
            <w:r>
              <w:t>Decarbonised heat solutions installed by 2028</w:t>
            </w:r>
          </w:p>
        </w:tc>
        <w:tc>
          <w:tcPr>
            <w:tcW w:w="7440" w:type="dxa"/>
          </w:tcPr>
          <w:p w14:paraId="15C12FF1" w14:textId="77777777" w:rsidR="003D7FBA" w:rsidRPr="003D7FBA" w:rsidRDefault="003D7FBA" w:rsidP="003D7FBA">
            <w:pPr>
              <w:pStyle w:val="ListParagraph"/>
              <w:numPr>
                <w:ilvl w:val="0"/>
                <w:numId w:val="19"/>
              </w:numPr>
              <w:rPr>
                <w:rStyle w:val="ui-provider"/>
                <w:rFonts w:cs="Arial"/>
              </w:rPr>
            </w:pPr>
            <w:r w:rsidRPr="00937948">
              <w:t xml:space="preserve">System capital decarbonisation funding has unlocked access to grant funding by supporting the match funding requirements. NBT has secured £7.3 million of Salix Public Sector Decarbonisation Scheme (PSDS) Phase 3c grant funding to decarbonise the heating in the Pathology and Learning and Research energy centre. This scheme has the potential to reduce carbon by up to </w:t>
            </w:r>
            <w:r w:rsidRPr="003D7FBA">
              <w:rPr>
                <w:rStyle w:val="ui-provider"/>
                <w:rFonts w:cs="Arial"/>
              </w:rPr>
              <w:t>1,188, tCO</w:t>
            </w:r>
            <w:r w:rsidRPr="003D7FBA">
              <w:rPr>
                <w:rStyle w:val="ui-provider"/>
                <w:rFonts w:cs="Arial"/>
                <w:vertAlign w:val="subscript"/>
              </w:rPr>
              <w:t>2</w:t>
            </w:r>
            <w:r w:rsidRPr="003D7FBA">
              <w:rPr>
                <w:rStyle w:val="ui-provider"/>
                <w:rFonts w:cs="Arial"/>
              </w:rPr>
              <w:t xml:space="preserve">e. </w:t>
            </w:r>
          </w:p>
          <w:p w14:paraId="2F58DE1C" w14:textId="77777777" w:rsidR="003D7FBA" w:rsidRPr="00937948" w:rsidRDefault="003D7FBA" w:rsidP="003D7FBA">
            <w:pPr>
              <w:pStyle w:val="ListParagraph"/>
              <w:numPr>
                <w:ilvl w:val="0"/>
                <w:numId w:val="19"/>
              </w:numPr>
            </w:pPr>
            <w:r w:rsidRPr="00937948">
              <w:t>UHBW has been awarded £234K Salix grant funding to decarbonise the heating in residences, this was also supported by system capital match funding.</w:t>
            </w:r>
          </w:p>
          <w:p w14:paraId="7F4DB36E" w14:textId="77777777" w:rsidR="003D7FBA" w:rsidRDefault="003D7FBA" w:rsidP="003D7FBA">
            <w:pPr>
              <w:pStyle w:val="ListParagraph"/>
              <w:numPr>
                <w:ilvl w:val="0"/>
                <w:numId w:val="19"/>
              </w:numPr>
              <w:rPr>
                <w:bCs/>
              </w:rPr>
            </w:pPr>
            <w:r w:rsidRPr="003D7FBA">
              <w:rPr>
                <w:bCs/>
              </w:rPr>
              <w:t xml:space="preserve">NBT’s first PSDS Phase 3a </w:t>
            </w:r>
            <w:r w:rsidRPr="00937948">
              <w:t>project to</w:t>
            </w:r>
            <w:r w:rsidRPr="003D7FBA">
              <w:rPr>
                <w:bCs/>
              </w:rPr>
              <w:t xml:space="preserve"> install heat pumps to the retained estate and deliver energy efficiency measures </w:t>
            </w:r>
            <w:r w:rsidRPr="00937948">
              <w:lastRenderedPageBreak/>
              <w:t xml:space="preserve">is now complete, </w:t>
            </w:r>
            <w:r w:rsidRPr="003D7FBA">
              <w:rPr>
                <w:bCs/>
              </w:rPr>
              <w:t xml:space="preserve">having successfully received £4.4m of grant funding. This scheme has the potential to reduce carbon by up to </w:t>
            </w:r>
            <w:r w:rsidRPr="003D7FBA">
              <w:rPr>
                <w:rStyle w:val="ui-provider"/>
                <w:rFonts w:cs="Arial"/>
              </w:rPr>
              <w:t>904 ktCO</w:t>
            </w:r>
            <w:r w:rsidRPr="003D7FBA">
              <w:rPr>
                <w:rStyle w:val="ui-provider"/>
                <w:rFonts w:cs="Arial"/>
                <w:vertAlign w:val="subscript"/>
              </w:rPr>
              <w:t>2</w:t>
            </w:r>
            <w:r w:rsidRPr="003D7FBA">
              <w:rPr>
                <w:bCs/>
              </w:rPr>
              <w:t xml:space="preserve">e. </w:t>
            </w:r>
          </w:p>
          <w:p w14:paraId="39C2992F" w14:textId="3772DE7E" w:rsidR="00B250A9" w:rsidRPr="003D7FBA" w:rsidRDefault="00B250A9" w:rsidP="003D7FBA">
            <w:pPr>
              <w:pStyle w:val="ListParagraph"/>
              <w:numPr>
                <w:ilvl w:val="0"/>
                <w:numId w:val="19"/>
              </w:numPr>
              <w:rPr>
                <w:bCs/>
              </w:rPr>
            </w:pPr>
            <w:r>
              <w:rPr>
                <w:bCs/>
              </w:rPr>
              <w:t>Insta</w:t>
            </w:r>
            <w:r w:rsidR="00CB5CF1">
              <w:rPr>
                <w:bCs/>
              </w:rPr>
              <w:t xml:space="preserve">lled heat pumps in 6 NBT buildings reducing gas demand by </w:t>
            </w:r>
            <w:proofErr w:type="gramStart"/>
            <w:r w:rsidR="00CB5CF1">
              <w:rPr>
                <w:bCs/>
              </w:rPr>
              <w:t>16%</w:t>
            </w:r>
            <w:proofErr w:type="gramEnd"/>
          </w:p>
          <w:p w14:paraId="62E98C4D" w14:textId="77777777" w:rsidR="003D7FBA" w:rsidRPr="003D7FBA" w:rsidRDefault="003D7FBA" w:rsidP="003D7FBA">
            <w:pPr>
              <w:pStyle w:val="ListParagraph"/>
              <w:numPr>
                <w:ilvl w:val="0"/>
                <w:numId w:val="19"/>
              </w:numPr>
              <w:rPr>
                <w:bCs/>
              </w:rPr>
            </w:pPr>
            <w:r w:rsidRPr="003D7FBA">
              <w:rPr>
                <w:bCs/>
              </w:rPr>
              <w:t>Delivery of the detailed RIBA stage 3 designs for decarbonising heating systems across NBT, backed by another successful bid for £438k of Salix funding under the Low Carbon Skills Fund (LCSF) Phase 4, is complete. This will help shape the future requirements of the Trust and its decarbonisation journey.</w:t>
            </w:r>
          </w:p>
          <w:p w14:paraId="7B82CC41" w14:textId="3A9E9DCD" w:rsidR="00CF1903" w:rsidRDefault="003D7FBA" w:rsidP="00C70967">
            <w:pPr>
              <w:pStyle w:val="ListParagraph"/>
              <w:numPr>
                <w:ilvl w:val="0"/>
                <w:numId w:val="19"/>
              </w:numPr>
            </w:pPr>
            <w:r w:rsidRPr="00937948">
              <w:t xml:space="preserve">AWP’s new Learning Disability and Autism Centre will be completed in June 2025. This will be the first building in the Trust to have heating and hot water supplied solely from an air source heat pump system. There will be no gas boilers installed in the building, and so will avoid creating gas related carbon emissions. </w:t>
            </w:r>
          </w:p>
        </w:tc>
        <w:tc>
          <w:tcPr>
            <w:tcW w:w="388" w:type="dxa"/>
            <w:shd w:val="clear" w:color="auto" w:fill="FF0000"/>
          </w:tcPr>
          <w:p w14:paraId="63E2C7AE" w14:textId="77777777" w:rsidR="00CF1903" w:rsidRDefault="00CF1903" w:rsidP="00EA42D9"/>
        </w:tc>
      </w:tr>
      <w:tr w:rsidR="00CF1903" w14:paraId="2158AF81" w14:textId="77777777" w:rsidTr="007C5D4B">
        <w:tc>
          <w:tcPr>
            <w:tcW w:w="1911" w:type="dxa"/>
          </w:tcPr>
          <w:p w14:paraId="1722A54E" w14:textId="41C63907" w:rsidR="00CF1903" w:rsidRDefault="00F607B9" w:rsidP="00EA42D9">
            <w:r w:rsidRPr="00F607B9">
              <w:t>Implement energy efficiency measures</w:t>
            </w:r>
            <w:r>
              <w:t xml:space="preserve"> for</w:t>
            </w:r>
            <w:r w:rsidRPr="00F607B9">
              <w:t xml:space="preserve"> Carbon footprint</w:t>
            </w:r>
            <w:r>
              <w:t xml:space="preserve"> </w:t>
            </w:r>
            <w:r w:rsidR="00DD32CA">
              <w:t>reduction</w:t>
            </w:r>
            <w:r w:rsidRPr="00F607B9">
              <w:t xml:space="preserve"> 80% by 2028, Net zero by 2030</w:t>
            </w:r>
          </w:p>
        </w:tc>
        <w:tc>
          <w:tcPr>
            <w:tcW w:w="7440" w:type="dxa"/>
          </w:tcPr>
          <w:p w14:paraId="3A57E6CB" w14:textId="77777777" w:rsidR="0047223F" w:rsidRPr="00937948" w:rsidRDefault="0047223F" w:rsidP="0047223F">
            <w:pPr>
              <w:pStyle w:val="ListParagraph"/>
              <w:numPr>
                <w:ilvl w:val="0"/>
                <w:numId w:val="19"/>
              </w:numPr>
            </w:pPr>
            <w:r w:rsidRPr="00937948">
              <w:t xml:space="preserve">UHBW has focused on upgrading the software and control hardware on the building management system and combined heat and power unit. The software upgrade will give greater functionality and a broader range of hardware connectivity, allowing for greater control, </w:t>
            </w:r>
            <w:proofErr w:type="gramStart"/>
            <w:r w:rsidRPr="00937948">
              <w:t>zoning</w:t>
            </w:r>
            <w:proofErr w:type="gramEnd"/>
            <w:r w:rsidRPr="00937948">
              <w:t xml:space="preserve"> and improved data. This data allows for the analysis of performance and opportunities for increased efficiency to be identified.</w:t>
            </w:r>
          </w:p>
          <w:p w14:paraId="593DBFBA" w14:textId="77777777" w:rsidR="0047223F" w:rsidRPr="00937948" w:rsidRDefault="0047223F" w:rsidP="0047223F">
            <w:pPr>
              <w:pStyle w:val="ListParagraph"/>
              <w:numPr>
                <w:ilvl w:val="0"/>
                <w:numId w:val="19"/>
              </w:numPr>
            </w:pPr>
            <w:r w:rsidRPr="0047223F">
              <w:rPr>
                <w:bCs/>
              </w:rPr>
              <w:t>AWP invested £135k into upgrading the lighting at 8 sites to energy efficient LED lighting, saving 48 tonnes of CO2e.</w:t>
            </w:r>
            <w:r w:rsidRPr="0047223F">
              <w:rPr>
                <w:color w:val="0D0D0D"/>
                <w:shd w:val="clear" w:color="auto" w:fill="FFFFFF"/>
              </w:rPr>
              <w:t xml:space="preserve"> We have engaged with NHS property services to encourage the installation of energy efficiency improvements including LED lighting to Primary Care and community health properties they are responsible for. </w:t>
            </w:r>
          </w:p>
          <w:p w14:paraId="5A65F356" w14:textId="77777777" w:rsidR="00CF1903" w:rsidRPr="00C46853" w:rsidRDefault="0047223F" w:rsidP="0047223F">
            <w:pPr>
              <w:pStyle w:val="ListParagraph"/>
              <w:numPr>
                <w:ilvl w:val="0"/>
                <w:numId w:val="19"/>
              </w:numPr>
            </w:pPr>
            <w:r w:rsidRPr="0047223F">
              <w:rPr>
                <w:color w:val="0D0D0D"/>
                <w:shd w:val="clear" w:color="auto" w:fill="FFFFFF"/>
              </w:rPr>
              <w:t xml:space="preserve">In Primary Care we have completed energy surveys and green plan progress reports in 25 GP surgeries to give surgeries the information to enable action in reducing their carbon footprints and reducing energy costs. Analysis of surveys will also give us an overview of the common actions that may be suitable for collective purchasing. Further individual surveys are needed to complete audits for all </w:t>
            </w:r>
            <w:proofErr w:type="gramStart"/>
            <w:r w:rsidRPr="0047223F">
              <w:rPr>
                <w:color w:val="0D0D0D"/>
                <w:shd w:val="clear" w:color="auto" w:fill="FFFFFF"/>
              </w:rPr>
              <w:t>practices</w:t>
            </w:r>
            <w:proofErr w:type="gramEnd"/>
          </w:p>
          <w:p w14:paraId="272C5D81" w14:textId="72A27B93" w:rsidR="00C46853" w:rsidRDefault="00C46853" w:rsidP="0047223F">
            <w:pPr>
              <w:pStyle w:val="ListParagraph"/>
              <w:numPr>
                <w:ilvl w:val="0"/>
                <w:numId w:val="19"/>
              </w:numPr>
            </w:pPr>
            <w:r>
              <w:rPr>
                <w:color w:val="0D0D0D"/>
                <w:shd w:val="clear" w:color="auto" w:fill="FFFFFF"/>
              </w:rPr>
              <w:t>NBT have installed 500kW of solar panels</w:t>
            </w:r>
            <w:r w:rsidR="00C70DC9">
              <w:rPr>
                <w:color w:val="0D0D0D"/>
                <w:shd w:val="clear" w:color="auto" w:fill="FFFFFF"/>
              </w:rPr>
              <w:t>, double glazing in Elgar building and</w:t>
            </w:r>
            <w:r w:rsidR="002F7197">
              <w:rPr>
                <w:color w:val="0D0D0D"/>
                <w:shd w:val="clear" w:color="auto" w:fill="FFFFFF"/>
              </w:rPr>
              <w:t xml:space="preserve"> LED lighting</w:t>
            </w:r>
            <w:r w:rsidR="00C70DC9">
              <w:rPr>
                <w:color w:val="0D0D0D"/>
                <w:shd w:val="clear" w:color="auto" w:fill="FFFFFF"/>
              </w:rPr>
              <w:t xml:space="preserve"> in</w:t>
            </w:r>
            <w:r w:rsidR="002F7197">
              <w:rPr>
                <w:color w:val="0D0D0D"/>
                <w:shd w:val="clear" w:color="auto" w:fill="FFFFFF"/>
              </w:rPr>
              <w:t xml:space="preserve"> the Brunel building</w:t>
            </w:r>
          </w:p>
        </w:tc>
        <w:tc>
          <w:tcPr>
            <w:tcW w:w="388" w:type="dxa"/>
            <w:shd w:val="clear" w:color="auto" w:fill="FFC000"/>
          </w:tcPr>
          <w:p w14:paraId="6C0BF23B" w14:textId="77777777" w:rsidR="00CF1903" w:rsidRDefault="00CF1903" w:rsidP="00EA42D9"/>
        </w:tc>
      </w:tr>
      <w:tr w:rsidR="001E5782" w14:paraId="1FFB2E9B" w14:textId="77777777" w:rsidTr="00BC753D">
        <w:tc>
          <w:tcPr>
            <w:tcW w:w="1911" w:type="dxa"/>
          </w:tcPr>
          <w:p w14:paraId="112DC30A" w14:textId="01D9A2A9" w:rsidR="001E5782" w:rsidRDefault="00C652EB" w:rsidP="00EA42D9">
            <w:r w:rsidRPr="00C652EB">
              <w:t>Off balance sheet energy decarbonisation funding model approved by 2026</w:t>
            </w:r>
          </w:p>
        </w:tc>
        <w:tc>
          <w:tcPr>
            <w:tcW w:w="7440" w:type="dxa"/>
          </w:tcPr>
          <w:p w14:paraId="23A02037" w14:textId="175A86E5" w:rsidR="001E5782" w:rsidRPr="00937948" w:rsidRDefault="00C96DE3" w:rsidP="0047223F">
            <w:pPr>
              <w:pStyle w:val="ListParagraph"/>
              <w:numPr>
                <w:ilvl w:val="0"/>
                <w:numId w:val="19"/>
              </w:numPr>
            </w:pPr>
            <w:r>
              <w:t>Discussion started with</w:t>
            </w:r>
            <w:r w:rsidR="00291D94">
              <w:t xml:space="preserve"> stakeholders including</w:t>
            </w:r>
            <w:r>
              <w:t xml:space="preserve"> City Leap </w:t>
            </w:r>
            <w:r w:rsidR="000E689F">
              <w:t>to identify potential solutions and lobbying routes for</w:t>
            </w:r>
            <w:r w:rsidR="00700DEB">
              <w:t xml:space="preserve"> c</w:t>
            </w:r>
            <w:r w:rsidRPr="00C96DE3">
              <w:t>ompliant funding model for decarbonisation that enables 3rd party funding</w:t>
            </w:r>
          </w:p>
        </w:tc>
        <w:tc>
          <w:tcPr>
            <w:tcW w:w="388" w:type="dxa"/>
            <w:shd w:val="clear" w:color="auto" w:fill="FFC000"/>
          </w:tcPr>
          <w:p w14:paraId="51009FB1" w14:textId="77777777" w:rsidR="001E5782" w:rsidRDefault="001E5782" w:rsidP="00EA42D9"/>
        </w:tc>
      </w:tr>
      <w:tr w:rsidR="00BD3686" w14:paraId="24D0365A" w14:textId="77777777" w:rsidTr="00BC753D">
        <w:tc>
          <w:tcPr>
            <w:tcW w:w="1911" w:type="dxa"/>
          </w:tcPr>
          <w:p w14:paraId="764519B2" w14:textId="3D88D8D8" w:rsidR="00BD3686" w:rsidRPr="00C652EB" w:rsidRDefault="00492B74" w:rsidP="00EA42D9">
            <w:r>
              <w:lastRenderedPageBreak/>
              <w:t>S</w:t>
            </w:r>
            <w:r w:rsidRPr="00492B74">
              <w:t>witch from diesel to HVO for backup heat and power by 2025</w:t>
            </w:r>
          </w:p>
        </w:tc>
        <w:tc>
          <w:tcPr>
            <w:tcW w:w="7440" w:type="dxa"/>
          </w:tcPr>
          <w:p w14:paraId="6E7C20C8" w14:textId="77777777" w:rsidR="00E07EEE" w:rsidRDefault="00E07EEE" w:rsidP="001A4B0D">
            <w:pPr>
              <w:pStyle w:val="ListParagraph"/>
              <w:numPr>
                <w:ilvl w:val="0"/>
                <w:numId w:val="19"/>
              </w:numPr>
            </w:pPr>
            <w:r w:rsidRPr="001A4B0D">
              <w:rPr>
                <w:color w:val="0D0D0D"/>
                <w:shd w:val="clear" w:color="auto" w:fill="FFFFFF"/>
              </w:rPr>
              <w:t>AWP and NBT</w:t>
            </w:r>
            <w:r w:rsidRPr="00937948">
              <w:t xml:space="preserve"> have now replaced the diesel fuel used in standby electricity generators with HVO fuel (Hydro treated vegetable oil). HVO is synthesised from animal fats and vegetable oils, which makes it a much cleaner burning fuel. It is 30% cleaner than </w:t>
            </w:r>
            <w:proofErr w:type="gramStart"/>
            <w:r w:rsidRPr="00937948">
              <w:t>diesel, and</w:t>
            </w:r>
            <w:proofErr w:type="gramEnd"/>
            <w:r w:rsidRPr="00937948">
              <w:t xml:space="preserve"> produced from 100% sustainable and renewable sources including waste fats and vegetable oils. The generator engines also run more efficiently and are less noisy when they use HVO fuel.</w:t>
            </w:r>
          </w:p>
          <w:p w14:paraId="53F7A8FD" w14:textId="309469F8" w:rsidR="00BD3686" w:rsidRDefault="002B0A72" w:rsidP="001A4B0D">
            <w:pPr>
              <w:pStyle w:val="ListParagraph"/>
              <w:numPr>
                <w:ilvl w:val="0"/>
                <w:numId w:val="19"/>
              </w:numPr>
            </w:pPr>
            <w:r w:rsidRPr="002B0A72">
              <w:t xml:space="preserve">UHBW </w:t>
            </w:r>
            <w:r>
              <w:t>due to</w:t>
            </w:r>
            <w:r w:rsidRPr="002B0A72">
              <w:t xml:space="preserve"> conve</w:t>
            </w:r>
            <w:r>
              <w:t>r</w:t>
            </w:r>
            <w:r w:rsidRPr="002B0A72">
              <w:t>t this year.</w:t>
            </w:r>
          </w:p>
        </w:tc>
        <w:tc>
          <w:tcPr>
            <w:tcW w:w="388" w:type="dxa"/>
            <w:shd w:val="clear" w:color="auto" w:fill="00B050"/>
          </w:tcPr>
          <w:p w14:paraId="5F1ADE54" w14:textId="77777777" w:rsidR="00BD3686" w:rsidRDefault="00BD3686" w:rsidP="00EA42D9"/>
        </w:tc>
      </w:tr>
    </w:tbl>
    <w:p w14:paraId="0C36CDE5" w14:textId="77777777" w:rsidR="00EE489C" w:rsidRDefault="00EE489C" w:rsidP="00666553">
      <w:pPr>
        <w:pStyle w:val="NormalWeb"/>
        <w:spacing w:before="0" w:beforeAutospacing="0" w:after="0" w:afterAutospacing="0"/>
        <w:rPr>
          <w:rFonts w:ascii="Arial" w:hAnsi="Arial" w:cs="Arial"/>
          <w:b/>
          <w:bCs/>
          <w:color w:val="002060"/>
          <w:shd w:val="clear" w:color="auto" w:fill="FFFFFF"/>
        </w:rPr>
      </w:pPr>
    </w:p>
    <w:p w14:paraId="09F19279" w14:textId="77777777" w:rsidR="002753F6" w:rsidRDefault="002753F6" w:rsidP="00666553">
      <w:pPr>
        <w:pStyle w:val="NormalWeb"/>
        <w:spacing w:before="0" w:beforeAutospacing="0" w:after="0" w:afterAutospacing="0"/>
        <w:rPr>
          <w:rFonts w:ascii="Arial" w:hAnsi="Arial" w:cs="Arial"/>
          <w:b/>
          <w:bCs/>
          <w:color w:val="002060"/>
          <w:shd w:val="clear" w:color="auto" w:fill="FFFFFF"/>
        </w:rPr>
      </w:pPr>
    </w:p>
    <w:p w14:paraId="1D284539" w14:textId="77777777" w:rsidR="002753F6" w:rsidRDefault="002753F6" w:rsidP="00666553">
      <w:pPr>
        <w:pStyle w:val="NormalWeb"/>
        <w:spacing w:before="0" w:beforeAutospacing="0" w:after="0" w:afterAutospacing="0"/>
        <w:rPr>
          <w:rFonts w:ascii="Arial" w:hAnsi="Arial" w:cs="Arial"/>
          <w:b/>
          <w:bCs/>
          <w:color w:val="002060"/>
          <w:shd w:val="clear" w:color="auto" w:fill="FFFFFF"/>
        </w:rPr>
      </w:pPr>
    </w:p>
    <w:p w14:paraId="382EDA77" w14:textId="77777777" w:rsidR="002753F6" w:rsidRDefault="002753F6" w:rsidP="00666553">
      <w:pPr>
        <w:pStyle w:val="NormalWeb"/>
        <w:spacing w:before="0" w:beforeAutospacing="0" w:after="0" w:afterAutospacing="0"/>
        <w:rPr>
          <w:rFonts w:ascii="Arial" w:hAnsi="Arial" w:cs="Arial"/>
          <w:b/>
          <w:bCs/>
          <w:color w:val="002060"/>
          <w:shd w:val="clear" w:color="auto" w:fill="FFFFFF"/>
        </w:rPr>
      </w:pPr>
    </w:p>
    <w:p w14:paraId="7DB80120" w14:textId="77777777" w:rsidR="007F39C7" w:rsidRDefault="007F39C7" w:rsidP="00666553">
      <w:pPr>
        <w:pStyle w:val="NormalWeb"/>
        <w:spacing w:before="0" w:beforeAutospacing="0" w:after="0" w:afterAutospacing="0"/>
        <w:rPr>
          <w:rFonts w:ascii="Arial" w:hAnsi="Arial" w:cs="Arial"/>
          <w:b/>
          <w:bCs/>
          <w:color w:val="002060"/>
          <w:shd w:val="clear" w:color="auto" w:fill="FFFFFF"/>
        </w:rPr>
      </w:pPr>
    </w:p>
    <w:p w14:paraId="5EED41F0" w14:textId="77777777" w:rsidR="007F39C7" w:rsidRDefault="007F39C7" w:rsidP="00666553">
      <w:pPr>
        <w:pStyle w:val="NormalWeb"/>
        <w:spacing w:before="0" w:beforeAutospacing="0" w:after="0" w:afterAutospacing="0"/>
        <w:rPr>
          <w:rFonts w:ascii="Arial" w:hAnsi="Arial" w:cs="Arial"/>
          <w:b/>
          <w:bCs/>
          <w:color w:val="002060"/>
          <w:shd w:val="clear" w:color="auto" w:fill="FFFFFF"/>
        </w:rPr>
      </w:pPr>
    </w:p>
    <w:p w14:paraId="62CB9882" w14:textId="17101473" w:rsidR="00666553" w:rsidRPr="00BD1BA5" w:rsidRDefault="00666553" w:rsidP="00666553">
      <w:pPr>
        <w:pStyle w:val="NormalWeb"/>
        <w:spacing w:before="0" w:beforeAutospacing="0" w:after="0" w:afterAutospacing="0"/>
        <w:rPr>
          <w:rFonts w:ascii="Arial" w:hAnsi="Arial" w:cs="Arial"/>
          <w:b/>
          <w:bCs/>
          <w:color w:val="002060"/>
          <w:sz w:val="22"/>
          <w:szCs w:val="22"/>
        </w:rPr>
      </w:pPr>
      <w:r w:rsidRPr="00BD1BA5">
        <w:rPr>
          <w:rFonts w:ascii="Arial" w:hAnsi="Arial" w:cs="Arial"/>
          <w:b/>
          <w:bCs/>
          <w:color w:val="002060"/>
          <w:shd w:val="clear" w:color="auto" w:fill="FFFFFF"/>
        </w:rPr>
        <w:t>Future focus</w:t>
      </w:r>
      <w:r w:rsidR="00B607BD">
        <w:rPr>
          <w:rFonts w:ascii="Arial" w:hAnsi="Arial" w:cs="Arial"/>
          <w:b/>
          <w:bCs/>
          <w:color w:val="002060"/>
          <w:shd w:val="clear" w:color="auto" w:fill="FFFFFF"/>
        </w:rPr>
        <w:t xml:space="preserve"> </w:t>
      </w:r>
      <w:r w:rsidR="008D25FF">
        <w:rPr>
          <w:rFonts w:ascii="Arial" w:hAnsi="Arial" w:cs="Arial"/>
          <w:b/>
          <w:bCs/>
          <w:color w:val="002060"/>
          <w:shd w:val="clear" w:color="auto" w:fill="FFFFFF"/>
        </w:rPr>
        <w:t xml:space="preserve"> </w:t>
      </w:r>
    </w:p>
    <w:p w14:paraId="37A6971B" w14:textId="1FDE5D11" w:rsidR="00666553" w:rsidRDefault="00666553" w:rsidP="00666553">
      <w:pPr>
        <w:spacing w:before="100" w:beforeAutospacing="1" w:after="100" w:afterAutospacing="1" w:line="240" w:lineRule="auto"/>
        <w:contextualSpacing/>
        <w:rPr>
          <w:rFonts w:cs="Arial"/>
          <w:bCs/>
        </w:rPr>
      </w:pPr>
      <w:r w:rsidRPr="004364AF">
        <w:rPr>
          <w:rFonts w:cs="Arial"/>
          <w:bCs/>
        </w:rPr>
        <w:t>Our priority will be decarbonising our heating systems. This is particularly challenging as it is a significant financial cost and often a complex process to achieve this for our buildings.</w:t>
      </w:r>
      <w:r>
        <w:rPr>
          <w:rFonts w:cs="Arial"/>
          <w:bCs/>
        </w:rPr>
        <w:t xml:space="preserve"> The system decarbonisation capital £3m has been successful in leveraging grant funding. However, we know this will not be sufficient funding</w:t>
      </w:r>
      <w:r w:rsidR="00E60123">
        <w:rPr>
          <w:rFonts w:cs="Arial"/>
          <w:bCs/>
        </w:rPr>
        <w:t xml:space="preserve"> </w:t>
      </w:r>
      <w:r w:rsidR="00A36B29">
        <w:rPr>
          <w:rFonts w:cs="Arial"/>
          <w:bCs/>
        </w:rPr>
        <w:t>(£196m)</w:t>
      </w:r>
      <w:r>
        <w:rPr>
          <w:rFonts w:cs="Arial"/>
          <w:bCs/>
        </w:rPr>
        <w:t xml:space="preserve"> to meet our targets so</w:t>
      </w:r>
      <w:r w:rsidR="00881E39">
        <w:rPr>
          <w:rFonts w:cs="Arial"/>
          <w:bCs/>
        </w:rPr>
        <w:t xml:space="preserve"> to achieve this crucial funding</w:t>
      </w:r>
      <w:r>
        <w:rPr>
          <w:rFonts w:cs="Arial"/>
          <w:bCs/>
        </w:rPr>
        <w:t xml:space="preserve"> we </w:t>
      </w:r>
      <w:r w:rsidR="00A36B29">
        <w:rPr>
          <w:rFonts w:cs="Arial"/>
          <w:bCs/>
        </w:rPr>
        <w:t>must</w:t>
      </w:r>
      <w:r>
        <w:rPr>
          <w:rFonts w:cs="Arial"/>
          <w:bCs/>
        </w:rPr>
        <w:t xml:space="preserve"> </w:t>
      </w:r>
      <w:r w:rsidR="00463619">
        <w:rPr>
          <w:rFonts w:cs="Arial"/>
          <w:bCs/>
        </w:rPr>
        <w:t>pursue</w:t>
      </w:r>
      <w:r>
        <w:rPr>
          <w:rFonts w:cs="Arial"/>
          <w:bCs/>
        </w:rPr>
        <w:t xml:space="preserve"> a c</w:t>
      </w:r>
      <w:r w:rsidRPr="00414B48">
        <w:rPr>
          <w:rFonts w:cs="Arial"/>
          <w:bCs/>
        </w:rPr>
        <w:t>ompliant funding model for decarbonisation that enables 3rd party</w:t>
      </w:r>
      <w:r w:rsidR="00921B40">
        <w:rPr>
          <w:rFonts w:cs="Arial"/>
          <w:bCs/>
        </w:rPr>
        <w:t xml:space="preserve"> off balance sheet</w:t>
      </w:r>
      <w:r w:rsidRPr="00414B48">
        <w:rPr>
          <w:rFonts w:cs="Arial"/>
          <w:bCs/>
        </w:rPr>
        <w:t xml:space="preserve"> funding</w:t>
      </w:r>
      <w:r>
        <w:rPr>
          <w:rFonts w:cs="Arial"/>
          <w:bCs/>
        </w:rPr>
        <w:t>.</w:t>
      </w:r>
    </w:p>
    <w:p w14:paraId="0CFFC585" w14:textId="77777777" w:rsidR="00666553" w:rsidRDefault="00666553" w:rsidP="00666553">
      <w:pPr>
        <w:spacing w:before="100" w:beforeAutospacing="1" w:after="100" w:afterAutospacing="1" w:line="240" w:lineRule="auto"/>
        <w:contextualSpacing/>
        <w:rPr>
          <w:rFonts w:cs="Arial"/>
          <w:bCs/>
        </w:rPr>
      </w:pPr>
    </w:p>
    <w:p w14:paraId="4B494992" w14:textId="77777777" w:rsidR="00666553" w:rsidRDefault="00666553" w:rsidP="00666553">
      <w:pPr>
        <w:spacing w:before="100" w:beforeAutospacing="1" w:after="100" w:afterAutospacing="1" w:line="240" w:lineRule="auto"/>
        <w:contextualSpacing/>
        <w:rPr>
          <w:rFonts w:cs="Arial"/>
          <w:bCs/>
        </w:rPr>
      </w:pPr>
      <w:r w:rsidRPr="00DD54EA">
        <w:rPr>
          <w:rFonts w:cs="Arial"/>
          <w:bCs/>
        </w:rPr>
        <w:t xml:space="preserve">A strategy for future electrical capacity is a focus as new facilities such as the Elective Centre and heat pumps come on stream and mark a shift away from gas to electricity. </w:t>
      </w:r>
      <w:r>
        <w:rPr>
          <w:rFonts w:cs="Arial"/>
          <w:bCs/>
        </w:rPr>
        <w:t xml:space="preserve"> </w:t>
      </w:r>
    </w:p>
    <w:p w14:paraId="5598401A" w14:textId="77777777" w:rsidR="00666553" w:rsidRDefault="00666553" w:rsidP="00666553">
      <w:pPr>
        <w:spacing w:before="100" w:beforeAutospacing="1" w:after="100" w:afterAutospacing="1" w:line="240" w:lineRule="auto"/>
        <w:contextualSpacing/>
        <w:rPr>
          <w:rFonts w:cs="Arial"/>
          <w:bCs/>
        </w:rPr>
      </w:pPr>
    </w:p>
    <w:p w14:paraId="4CE00C06" w14:textId="77777777" w:rsidR="00666553" w:rsidRDefault="00666553" w:rsidP="00666553">
      <w:pPr>
        <w:spacing w:before="100" w:beforeAutospacing="1" w:after="100" w:afterAutospacing="1" w:line="240" w:lineRule="auto"/>
        <w:contextualSpacing/>
        <w:rPr>
          <w:rFonts w:cs="Arial"/>
          <w:bCs/>
        </w:rPr>
      </w:pPr>
      <w:r>
        <w:rPr>
          <w:rFonts w:cs="Arial"/>
          <w:bCs/>
        </w:rPr>
        <w:t>The</w:t>
      </w:r>
      <w:r w:rsidRPr="00DD54EA">
        <w:rPr>
          <w:rFonts w:cs="Arial"/>
          <w:bCs/>
        </w:rPr>
        <w:t xml:space="preserve"> NHS Net Zero Building Standard which was published in February 2023, will further drive reductions in carbon for all new major investments in healthcare buildings.</w:t>
      </w:r>
      <w:r>
        <w:rPr>
          <w:rFonts w:cs="Arial"/>
          <w:bCs/>
        </w:rPr>
        <w:t xml:space="preserve"> We are developing a BNSSG ICS standard specification which includes applying the net zero building principles across all construction.</w:t>
      </w:r>
    </w:p>
    <w:p w14:paraId="5802FE0E" w14:textId="77777777" w:rsidR="00897DD9" w:rsidRDefault="00897DD9" w:rsidP="00666553">
      <w:pPr>
        <w:spacing w:before="100" w:beforeAutospacing="1" w:after="100" w:afterAutospacing="1" w:line="240" w:lineRule="auto"/>
        <w:contextualSpacing/>
        <w:rPr>
          <w:rFonts w:cs="Arial"/>
          <w:bCs/>
        </w:rPr>
      </w:pPr>
    </w:p>
    <w:p w14:paraId="787558C2" w14:textId="69C63F51" w:rsidR="00897DD9" w:rsidRDefault="00897DD9" w:rsidP="00666553">
      <w:pPr>
        <w:spacing w:before="100" w:beforeAutospacing="1" w:after="100" w:afterAutospacing="1" w:line="240" w:lineRule="auto"/>
        <w:contextualSpacing/>
        <w:rPr>
          <w:rFonts w:cs="Arial"/>
          <w:bCs/>
        </w:rPr>
      </w:pPr>
      <w:r>
        <w:rPr>
          <w:rFonts w:cs="Arial"/>
          <w:bCs/>
        </w:rPr>
        <w:t xml:space="preserve">The identified actions </w:t>
      </w:r>
      <w:r w:rsidR="00407D7B">
        <w:rPr>
          <w:rFonts w:cs="Arial"/>
          <w:bCs/>
        </w:rPr>
        <w:t xml:space="preserve">will achieve net zero </w:t>
      </w:r>
      <w:r w:rsidR="00801F52">
        <w:rPr>
          <w:rFonts w:cs="Arial"/>
          <w:bCs/>
        </w:rPr>
        <w:t xml:space="preserve">without requiring us to identify further </w:t>
      </w:r>
      <w:r w:rsidR="00F55264">
        <w:rPr>
          <w:rFonts w:cs="Arial"/>
          <w:bCs/>
        </w:rPr>
        <w:t xml:space="preserve">actions, </w:t>
      </w:r>
      <w:r w:rsidR="00407D7B">
        <w:rPr>
          <w:rFonts w:cs="Arial"/>
          <w:bCs/>
        </w:rPr>
        <w:t xml:space="preserve">however this is subject to </w:t>
      </w:r>
      <w:r w:rsidR="00332343">
        <w:rPr>
          <w:rFonts w:cs="Arial"/>
          <w:bCs/>
        </w:rPr>
        <w:t>us achieving a compliant</w:t>
      </w:r>
      <w:r w:rsidR="00583D97">
        <w:rPr>
          <w:rFonts w:cs="Arial"/>
          <w:bCs/>
        </w:rPr>
        <w:t xml:space="preserve"> off balance sheet</w:t>
      </w:r>
      <w:r w:rsidR="00332343">
        <w:rPr>
          <w:rFonts w:cs="Arial"/>
          <w:bCs/>
        </w:rPr>
        <w:t xml:space="preserve"> 3</w:t>
      </w:r>
      <w:r w:rsidR="00332343" w:rsidRPr="00332343">
        <w:rPr>
          <w:rFonts w:cs="Arial"/>
          <w:bCs/>
          <w:vertAlign w:val="superscript"/>
        </w:rPr>
        <w:t>rd</w:t>
      </w:r>
      <w:r w:rsidR="00332343">
        <w:rPr>
          <w:rFonts w:cs="Arial"/>
          <w:bCs/>
        </w:rPr>
        <w:t xml:space="preserve"> party funding model</w:t>
      </w:r>
      <w:r w:rsidR="00F55264">
        <w:rPr>
          <w:rFonts w:cs="Arial"/>
          <w:bCs/>
        </w:rPr>
        <w:t xml:space="preserve"> which is the most important focus for future delivery</w:t>
      </w:r>
      <w:r w:rsidR="00696B72">
        <w:rPr>
          <w:rFonts w:cs="Arial"/>
          <w:bCs/>
        </w:rPr>
        <w:t xml:space="preserve"> of our energy and building d</w:t>
      </w:r>
      <w:r w:rsidR="00C47817">
        <w:rPr>
          <w:rFonts w:cs="Arial"/>
          <w:bCs/>
        </w:rPr>
        <w:t>e</w:t>
      </w:r>
      <w:r w:rsidR="00696B72">
        <w:rPr>
          <w:rFonts w:cs="Arial"/>
          <w:bCs/>
        </w:rPr>
        <w:t>carbonisation</w:t>
      </w:r>
      <w:r w:rsidR="00C47817">
        <w:rPr>
          <w:rFonts w:cs="Arial"/>
          <w:bCs/>
        </w:rPr>
        <w:t xml:space="preserve"> to avoid increasing the gap to net zero by a further 44966 tCO</w:t>
      </w:r>
      <w:r w:rsidR="00C47817" w:rsidRPr="00C47817">
        <w:rPr>
          <w:rFonts w:cs="Arial"/>
          <w:bCs/>
          <w:vertAlign w:val="subscript"/>
        </w:rPr>
        <w:t>2</w:t>
      </w:r>
      <w:r w:rsidR="00C47817">
        <w:rPr>
          <w:rFonts w:cs="Arial"/>
          <w:bCs/>
        </w:rPr>
        <w:t>e</w:t>
      </w:r>
      <w:r w:rsidR="00F55264">
        <w:rPr>
          <w:rFonts w:cs="Arial"/>
          <w:bCs/>
        </w:rPr>
        <w:t>.</w:t>
      </w:r>
    </w:p>
    <w:p w14:paraId="212CF4C5" w14:textId="77777777" w:rsidR="00666553" w:rsidRDefault="00666553" w:rsidP="005F120B"/>
    <w:p w14:paraId="5614F8B2" w14:textId="781B0456" w:rsidR="002D47D1" w:rsidRPr="000F1895" w:rsidRDefault="002D47D1" w:rsidP="002D47D1">
      <w:pPr>
        <w:pStyle w:val="Subtitle"/>
      </w:pPr>
      <w:r>
        <w:t>2.2.1 Travel, Transport and Air Quality</w:t>
      </w:r>
    </w:p>
    <w:p w14:paraId="15C5A261" w14:textId="5EFF2A63" w:rsidR="00884E8D" w:rsidRDefault="00884E8D" w:rsidP="00884E8D">
      <w:pPr>
        <w:rPr>
          <w:rFonts w:cs="Arial"/>
        </w:rPr>
      </w:pPr>
      <w:r w:rsidRPr="009B0AF5">
        <w:rPr>
          <w:rFonts w:cs="Arial"/>
        </w:rPr>
        <w:t xml:space="preserve">Carbon emissions from transport are the fourth largest emissions source from our carbon footprint. Emissions from transport also cause significant air pollution. Air pollution is the biggest environmental threat to health in the UK, with between 28,000 and 36,000 deaths a year attributed to long-term exposure. There is strong evidence that air pollution causes the development of coronary heart disease, stroke, respiratory </w:t>
      </w:r>
      <w:proofErr w:type="gramStart"/>
      <w:r w:rsidRPr="009B0AF5">
        <w:rPr>
          <w:rFonts w:cs="Arial"/>
        </w:rPr>
        <w:t>disease</w:t>
      </w:r>
      <w:proofErr w:type="gramEnd"/>
      <w:r w:rsidRPr="009B0AF5">
        <w:rPr>
          <w:rFonts w:cs="Arial"/>
        </w:rPr>
        <w:t xml:space="preserve"> and lung cancer, and exacerbates asthma. As a health</w:t>
      </w:r>
      <w:r>
        <w:rPr>
          <w:rFonts w:cs="Arial"/>
        </w:rPr>
        <w:t xml:space="preserve"> and </w:t>
      </w:r>
      <w:r w:rsidRPr="009B0AF5">
        <w:rPr>
          <w:rFonts w:cs="Arial"/>
        </w:rPr>
        <w:t xml:space="preserve">care </w:t>
      </w:r>
      <w:r>
        <w:rPr>
          <w:rFonts w:cs="Arial"/>
        </w:rPr>
        <w:t xml:space="preserve">system </w:t>
      </w:r>
      <w:r w:rsidRPr="009B0AF5">
        <w:rPr>
          <w:rFonts w:cs="Arial"/>
        </w:rPr>
        <w:t xml:space="preserve">we have a moral duty to significantly reduce the carbon emissions and air pollution we are causing with the large amount of vehicle journeys </w:t>
      </w:r>
      <w:r>
        <w:rPr>
          <w:rFonts w:cs="Arial"/>
        </w:rPr>
        <w:t xml:space="preserve">undertaken by our staff, patients, </w:t>
      </w:r>
      <w:proofErr w:type="gramStart"/>
      <w:r>
        <w:rPr>
          <w:rFonts w:cs="Arial"/>
        </w:rPr>
        <w:t>visitors</w:t>
      </w:r>
      <w:proofErr w:type="gramEnd"/>
      <w:r>
        <w:rPr>
          <w:rFonts w:cs="Arial"/>
        </w:rPr>
        <w:t xml:space="preserve"> and supply chain</w:t>
      </w:r>
      <w:r w:rsidRPr="009B0AF5">
        <w:rPr>
          <w:rFonts w:cs="Arial"/>
        </w:rPr>
        <w:t xml:space="preserve"> each year.</w:t>
      </w:r>
    </w:p>
    <w:p w14:paraId="33D16891" w14:textId="179FD5E2" w:rsidR="00105B0E" w:rsidRDefault="0058500B" w:rsidP="00884E8D">
      <w:pPr>
        <w:rPr>
          <w:rFonts w:cs="Arial"/>
        </w:rPr>
      </w:pPr>
      <w:r>
        <w:rPr>
          <w:noProof/>
        </w:rPr>
        <w:lastRenderedPageBreak/>
        <w:drawing>
          <wp:inline distT="0" distB="0" distL="0" distR="0" wp14:anchorId="69DD065B" wp14:editId="72B10BF2">
            <wp:extent cx="6146800" cy="2647950"/>
            <wp:effectExtent l="0" t="0" r="6350" b="0"/>
            <wp:docPr id="2" name="Chart 2" descr="Stacked line graph showing the carbon trajectory for each financial year from 2023-2030 for visitor travel, patient travel, business travel, staff commuting and NHS fleet. ">
              <a:extLst xmlns:a="http://schemas.openxmlformats.org/drawingml/2006/main">
                <a:ext uri="{FF2B5EF4-FFF2-40B4-BE49-F238E27FC236}">
                  <a16:creationId xmlns:a16="http://schemas.microsoft.com/office/drawing/2014/main" id="{EAB47B1A-10A9-4CFA-AF4D-F37D289E16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tblLook w:val="04A0" w:firstRow="1" w:lastRow="0" w:firstColumn="1" w:lastColumn="0" w:noHBand="0" w:noVBand="1"/>
      </w:tblPr>
      <w:tblGrid>
        <w:gridCol w:w="2263"/>
        <w:gridCol w:w="6970"/>
        <w:gridCol w:w="506"/>
      </w:tblGrid>
      <w:tr w:rsidR="00F657FA" w14:paraId="115CD10E" w14:textId="525108EB" w:rsidTr="004C09F3">
        <w:trPr>
          <w:cantSplit/>
          <w:trHeight w:val="1134"/>
        </w:trPr>
        <w:tc>
          <w:tcPr>
            <w:tcW w:w="2263" w:type="dxa"/>
          </w:tcPr>
          <w:p w14:paraId="6B36DAC3" w14:textId="77777777" w:rsidR="00F657FA" w:rsidRDefault="00F657FA" w:rsidP="00D41CE3">
            <w:r>
              <w:t>Target</w:t>
            </w:r>
          </w:p>
        </w:tc>
        <w:tc>
          <w:tcPr>
            <w:tcW w:w="6970" w:type="dxa"/>
          </w:tcPr>
          <w:p w14:paraId="32736E57" w14:textId="77777777" w:rsidR="00F657FA" w:rsidRDefault="00F657FA" w:rsidP="00D41CE3">
            <w:r>
              <w:t>Progress</w:t>
            </w:r>
          </w:p>
        </w:tc>
        <w:tc>
          <w:tcPr>
            <w:tcW w:w="506" w:type="dxa"/>
            <w:textDirection w:val="btLr"/>
          </w:tcPr>
          <w:p w14:paraId="09CFF145" w14:textId="55D98626" w:rsidR="00F657FA" w:rsidRDefault="00F657FA" w:rsidP="00F657FA">
            <w:pPr>
              <w:spacing w:after="0"/>
              <w:ind w:left="113" w:right="113"/>
            </w:pPr>
            <w:r w:rsidRPr="00F657FA">
              <w:t>RAG</w:t>
            </w:r>
          </w:p>
        </w:tc>
      </w:tr>
      <w:tr w:rsidR="00F657FA" w14:paraId="68CCBC17" w14:textId="13D8142A" w:rsidTr="004C09F3">
        <w:tc>
          <w:tcPr>
            <w:tcW w:w="2263" w:type="dxa"/>
          </w:tcPr>
          <w:p w14:paraId="30CCCA92" w14:textId="12D76C18" w:rsidR="00F657FA" w:rsidRDefault="00F657FA" w:rsidP="00D41CE3">
            <w:r w:rsidRPr="00C60BFD">
              <w:t>100% of fleet vehicles are ULEV (or Euro 6) by March 2024</w:t>
            </w:r>
            <w:r>
              <w:t xml:space="preserve">. </w:t>
            </w:r>
            <w:r w:rsidRPr="00EA5FF9">
              <w:t>All new vehicles owned and leased by NHS will be ZEV from 2027 (excluding ambulances)</w:t>
            </w:r>
          </w:p>
        </w:tc>
        <w:tc>
          <w:tcPr>
            <w:tcW w:w="6970" w:type="dxa"/>
          </w:tcPr>
          <w:p w14:paraId="4E604941" w14:textId="77777777" w:rsidR="00AB14C6" w:rsidRDefault="00F657FA" w:rsidP="00EA5FF9">
            <w:pPr>
              <w:pStyle w:val="ListParagraph"/>
              <w:numPr>
                <w:ilvl w:val="0"/>
                <w:numId w:val="19"/>
              </w:numPr>
            </w:pPr>
            <w:r w:rsidRPr="00AA44A8">
              <w:t xml:space="preserve">Sirona are the first organisation in the ICS to have successfully changed its fleet to all electric vehicles. UHBW now has 50% of its fleet as electric vehicles.  </w:t>
            </w:r>
          </w:p>
          <w:p w14:paraId="661E1E93" w14:textId="77777777" w:rsidR="00AB14C6" w:rsidRDefault="00F657FA" w:rsidP="00EA5FF9">
            <w:pPr>
              <w:pStyle w:val="ListParagraph"/>
              <w:numPr>
                <w:ilvl w:val="0"/>
                <w:numId w:val="19"/>
              </w:numPr>
            </w:pPr>
            <w:r w:rsidRPr="00AA44A8">
              <w:t xml:space="preserve">NBT has partnered with the West of England Combined Authority to take part in the Urban Freight Trial to swap NBT Logistics Team’s diesel van for an electric cargo bike. Estimates suggest the trial could save 1,060 kg CO2e and £5,200 per annum. </w:t>
            </w:r>
          </w:p>
          <w:p w14:paraId="1735BC03" w14:textId="77777777" w:rsidR="00F657FA" w:rsidRDefault="00F657FA" w:rsidP="00EA5FF9">
            <w:pPr>
              <w:pStyle w:val="ListParagraph"/>
              <w:numPr>
                <w:ilvl w:val="0"/>
                <w:numId w:val="19"/>
              </w:numPr>
            </w:pPr>
            <w:r w:rsidRPr="00AA44A8">
              <w:t>AWP In 2023, installed wiring for a new dual socket 7KW Electric Vehicle (EV) charging point at the Blackberry Hill site. The intention is to install more EV charging points across organisations to ensure we have a sufficient EV charging network by 2026.</w:t>
            </w:r>
            <w:r w:rsidRPr="00937948">
              <w:t xml:space="preserve"> </w:t>
            </w:r>
          </w:p>
          <w:p w14:paraId="6EE52BC3" w14:textId="5EE72FB5" w:rsidR="00B35547" w:rsidRDefault="00B35547" w:rsidP="00B35547">
            <w:pPr>
              <w:pStyle w:val="ListParagraph"/>
            </w:pPr>
          </w:p>
        </w:tc>
        <w:tc>
          <w:tcPr>
            <w:tcW w:w="506" w:type="dxa"/>
            <w:shd w:val="clear" w:color="auto" w:fill="FFC000"/>
          </w:tcPr>
          <w:p w14:paraId="638A50AB" w14:textId="77777777" w:rsidR="00F657FA" w:rsidRPr="00AA44A8" w:rsidRDefault="00F657FA" w:rsidP="00EA5FF9">
            <w:pPr>
              <w:pStyle w:val="ListParagraph"/>
              <w:numPr>
                <w:ilvl w:val="0"/>
                <w:numId w:val="19"/>
              </w:numPr>
            </w:pPr>
          </w:p>
        </w:tc>
      </w:tr>
      <w:tr w:rsidR="00F657FA" w14:paraId="3CEE0D50" w14:textId="0269AEFE" w:rsidTr="004C09F3">
        <w:tc>
          <w:tcPr>
            <w:tcW w:w="2263" w:type="dxa"/>
          </w:tcPr>
          <w:p w14:paraId="056278DD" w14:textId="046AD73B" w:rsidR="00F657FA" w:rsidRDefault="00F657FA" w:rsidP="00A64F00">
            <w:r w:rsidRPr="003C4CF9">
              <w:t>Travel emissions measure</w:t>
            </w:r>
            <w:r>
              <w:t>ment</w:t>
            </w:r>
            <w:r w:rsidRPr="003C4CF9">
              <w:t xml:space="preserve"> for staff and patients in place by March 2024</w:t>
            </w:r>
            <w:r>
              <w:t xml:space="preserve">. </w:t>
            </w:r>
            <w:r w:rsidRPr="00AC36F7">
              <w:t>Organisation specific sustainable travel plan by June 2024</w:t>
            </w:r>
          </w:p>
        </w:tc>
        <w:tc>
          <w:tcPr>
            <w:tcW w:w="6970" w:type="dxa"/>
          </w:tcPr>
          <w:p w14:paraId="2DC36B09" w14:textId="3BC0DB4A" w:rsidR="00F657FA" w:rsidRPr="00C62B17" w:rsidRDefault="00F657FA" w:rsidP="00C62B17">
            <w:pPr>
              <w:pStyle w:val="ListParagraph"/>
              <w:numPr>
                <w:ilvl w:val="0"/>
                <w:numId w:val="19"/>
              </w:numPr>
              <w:rPr>
                <w:rFonts w:cs="Arial"/>
              </w:rPr>
            </w:pPr>
            <w:r w:rsidRPr="009D0BBA">
              <w:rPr>
                <w:rFonts w:cs="Arial"/>
              </w:rPr>
              <w:t>Despite national active travel funding being severely reduced in 2023-24, both Acute Trusts have maintained their staff bike loan scheme, introduced a new cycle to work scheme, Ultra Low Emission Vehicle Salary Sacrifice Scheme</w:t>
            </w:r>
            <w:r>
              <w:rPr>
                <w:rFonts w:cs="Arial"/>
              </w:rPr>
              <w:t xml:space="preserve"> (78 at NBT this year)</w:t>
            </w:r>
            <w:r w:rsidRPr="009D0BBA">
              <w:rPr>
                <w:rFonts w:cs="Arial"/>
              </w:rPr>
              <w:t xml:space="preserve">, pool car service </w:t>
            </w:r>
            <w:r>
              <w:rPr>
                <w:rFonts w:cs="Arial"/>
              </w:rPr>
              <w:t xml:space="preserve">(25 </w:t>
            </w:r>
            <w:proofErr w:type="spellStart"/>
            <w:r>
              <w:rPr>
                <w:rFonts w:cs="Arial"/>
              </w:rPr>
              <w:t>NHS@home</w:t>
            </w:r>
            <w:proofErr w:type="spellEnd"/>
            <w:r>
              <w:rPr>
                <w:rFonts w:cs="Arial"/>
              </w:rPr>
              <w:t xml:space="preserve"> staff) </w:t>
            </w:r>
            <w:r w:rsidRPr="009D0BBA">
              <w:rPr>
                <w:rFonts w:cs="Arial"/>
              </w:rPr>
              <w:t>and</w:t>
            </w:r>
            <w:r w:rsidRPr="009D0BBA">
              <w:rPr>
                <w:rFonts w:asciiTheme="minorHAnsi" w:hAnsiTheme="minorHAnsi"/>
                <w:kern w:val="2"/>
                <w14:ligatures w14:val="standardContextual"/>
              </w:rPr>
              <w:t xml:space="preserve"> </w:t>
            </w:r>
            <w:r w:rsidRPr="009D0BBA">
              <w:rPr>
                <w:rFonts w:cs="Arial"/>
              </w:rPr>
              <w:t>Doctor Bike sessions where staff can have their bike checked over for safety and any minor works carried out free of charge. AWP and UHBW have made improvements to secure cycle parking.</w:t>
            </w:r>
          </w:p>
        </w:tc>
        <w:tc>
          <w:tcPr>
            <w:tcW w:w="506" w:type="dxa"/>
            <w:shd w:val="clear" w:color="auto" w:fill="FF0000"/>
          </w:tcPr>
          <w:p w14:paraId="2B6AE8D1" w14:textId="77777777" w:rsidR="00F657FA" w:rsidRDefault="00F657FA" w:rsidP="009D0BBA">
            <w:pPr>
              <w:pStyle w:val="ListParagraph"/>
              <w:numPr>
                <w:ilvl w:val="0"/>
                <w:numId w:val="19"/>
              </w:numPr>
              <w:rPr>
                <w:rFonts w:cs="Arial"/>
              </w:rPr>
            </w:pPr>
          </w:p>
        </w:tc>
      </w:tr>
      <w:tr w:rsidR="00F657FA" w14:paraId="25641C56" w14:textId="35B5C6D3" w:rsidTr="004C09F3">
        <w:tc>
          <w:tcPr>
            <w:tcW w:w="2263" w:type="dxa"/>
          </w:tcPr>
          <w:p w14:paraId="488A64F8" w14:textId="6E90AD1E" w:rsidR="00F657FA" w:rsidRDefault="00F657FA" w:rsidP="00D41CE3">
            <w:r w:rsidRPr="007B0B91">
              <w:t>Air quality is improved at each site to at least ambient levels by March 2027</w:t>
            </w:r>
          </w:p>
        </w:tc>
        <w:tc>
          <w:tcPr>
            <w:tcW w:w="6970" w:type="dxa"/>
          </w:tcPr>
          <w:p w14:paraId="187D2CFD" w14:textId="7B334BDB" w:rsidR="00F657FA" w:rsidRPr="00943340" w:rsidRDefault="00F657FA" w:rsidP="00943340">
            <w:pPr>
              <w:pStyle w:val="ListParagraph"/>
              <w:numPr>
                <w:ilvl w:val="0"/>
                <w:numId w:val="19"/>
              </w:numPr>
              <w:rPr>
                <w:rFonts w:cs="Arial"/>
              </w:rPr>
            </w:pPr>
            <w:r w:rsidRPr="00943340">
              <w:rPr>
                <w:rFonts w:cs="Arial"/>
              </w:rPr>
              <w:t xml:space="preserve">UHBW has seen an improvement in the air quality in and around the central Bristol located sites. </w:t>
            </w:r>
            <w:r w:rsidR="00177F68" w:rsidRPr="00177F68">
              <w:rPr>
                <w:rFonts w:cs="Arial"/>
              </w:rPr>
              <w:t>Outside the Bristol Royal Infirmary and Children's Hospital, nitrogen dioxide is down by around 20</w:t>
            </w:r>
            <w:r w:rsidR="00177F68">
              <w:rPr>
                <w:rFonts w:cs="Arial"/>
              </w:rPr>
              <w:t>%</w:t>
            </w:r>
            <w:r w:rsidR="002B2E2F">
              <w:rPr>
                <w:rFonts w:cs="Arial"/>
              </w:rPr>
              <w:t xml:space="preserve">. </w:t>
            </w:r>
            <w:r w:rsidRPr="00943340">
              <w:rPr>
                <w:rFonts w:cs="Arial"/>
              </w:rPr>
              <w:t xml:space="preserve">This improvement is a result of the implementation of the Bristol Clean Air Zone. This reduction can be seen in the ambient air quality levels of the roads directly outside the Bristol </w:t>
            </w:r>
            <w:r w:rsidRPr="00943340">
              <w:rPr>
                <w:rFonts w:cs="Arial"/>
              </w:rPr>
              <w:lastRenderedPageBreak/>
              <w:t xml:space="preserve">Royal Infirmary but also in the monitoring equipment across the hospital site. However, the ambulance bay and Alfred Parade, the main delivery road on the central Bristol site, are still areas of poor air quality, exceeding World Health Organisation nitrogen dioxide limits during the day.  </w:t>
            </w:r>
          </w:p>
          <w:p w14:paraId="1533B4AA" w14:textId="77777777" w:rsidR="00F657FA" w:rsidRPr="00943340" w:rsidRDefault="00F657FA" w:rsidP="00943340">
            <w:pPr>
              <w:pStyle w:val="ListParagraph"/>
              <w:numPr>
                <w:ilvl w:val="0"/>
                <w:numId w:val="19"/>
              </w:numPr>
              <w:rPr>
                <w:rFonts w:cs="Arial"/>
              </w:rPr>
            </w:pPr>
            <w:r w:rsidRPr="00943340">
              <w:rPr>
                <w:rFonts w:cs="Arial"/>
              </w:rPr>
              <w:t xml:space="preserve">Action has been taken to improve the air quality impact of the supply chain through the contracts let that result in many deliveries and vehicle movements on sites. Mean air quality levels around Bristol Royal Infirmary can be over 30% higher for nitrogen dioxide during busy delivery periods over quiet periods. This is being addressed through the social value criteria that apply to all tenders. Including ‘improving air quality’ as an outcome in relevant tenders has resulted in commitments being made from suppliers to reduce delivery frequency, optimise route </w:t>
            </w:r>
            <w:proofErr w:type="gramStart"/>
            <w:r w:rsidRPr="00943340">
              <w:rPr>
                <w:rFonts w:cs="Arial"/>
              </w:rPr>
              <w:t>planning</w:t>
            </w:r>
            <w:proofErr w:type="gramEnd"/>
            <w:r w:rsidRPr="00943340">
              <w:rPr>
                <w:rFonts w:cs="Arial"/>
              </w:rPr>
              <w:t xml:space="preserve"> and plans to introduce low and zero emission vehicles. </w:t>
            </w:r>
          </w:p>
          <w:p w14:paraId="7BA68D8F" w14:textId="101A841B" w:rsidR="00F657FA" w:rsidRPr="00943340" w:rsidRDefault="00F657FA" w:rsidP="00943340">
            <w:pPr>
              <w:pStyle w:val="ListParagraph"/>
              <w:numPr>
                <w:ilvl w:val="0"/>
                <w:numId w:val="19"/>
              </w:numPr>
              <w:rPr>
                <w:rFonts w:cs="Arial"/>
              </w:rPr>
            </w:pPr>
            <w:r w:rsidRPr="00943340">
              <w:rPr>
                <w:rFonts w:cs="Arial"/>
              </w:rPr>
              <w:t xml:space="preserve">Both Hospital Trusts have added air quality monitoring on </w:t>
            </w:r>
            <w:r w:rsidR="00F100F1">
              <w:rPr>
                <w:rFonts w:cs="Arial"/>
              </w:rPr>
              <w:t xml:space="preserve">their </w:t>
            </w:r>
            <w:r w:rsidRPr="00943340">
              <w:rPr>
                <w:rFonts w:cs="Arial"/>
              </w:rPr>
              <w:t>site</w:t>
            </w:r>
            <w:r w:rsidR="00F100F1">
              <w:rPr>
                <w:rFonts w:cs="Arial"/>
              </w:rPr>
              <w:t>s</w:t>
            </w:r>
            <w:r w:rsidRPr="00943340">
              <w:rPr>
                <w:rFonts w:cs="Arial"/>
              </w:rPr>
              <w:t xml:space="preserve"> to improve the data</w:t>
            </w:r>
            <w:r w:rsidR="00F100F1">
              <w:rPr>
                <w:rFonts w:cs="Arial"/>
              </w:rPr>
              <w:t xml:space="preserve"> and identify </w:t>
            </w:r>
            <w:r w:rsidR="00B6071C">
              <w:rPr>
                <w:rFonts w:cs="Arial"/>
              </w:rPr>
              <w:t>improvement opportunities</w:t>
            </w:r>
          </w:p>
          <w:p w14:paraId="47F3C82D" w14:textId="77777777" w:rsidR="00F657FA" w:rsidRDefault="00F657FA" w:rsidP="00943340">
            <w:pPr>
              <w:pStyle w:val="ListParagraph"/>
              <w:numPr>
                <w:ilvl w:val="0"/>
                <w:numId w:val="19"/>
              </w:numPr>
            </w:pPr>
            <w:r>
              <w:t xml:space="preserve">AWP </w:t>
            </w:r>
            <w:r w:rsidR="00F100F1">
              <w:t xml:space="preserve">sharing public air quality monitoring </w:t>
            </w:r>
            <w:r w:rsidR="004E2D10">
              <w:t xml:space="preserve">on their </w:t>
            </w:r>
            <w:proofErr w:type="gramStart"/>
            <w:r w:rsidR="004E2D10">
              <w:t>website</w:t>
            </w:r>
            <w:proofErr w:type="gramEnd"/>
          </w:p>
          <w:p w14:paraId="0050589D" w14:textId="544ED595" w:rsidR="00CB7BBE" w:rsidRPr="00937948" w:rsidRDefault="00CB7BBE" w:rsidP="00CB7BBE">
            <w:pPr>
              <w:pStyle w:val="ListParagraph"/>
            </w:pPr>
          </w:p>
        </w:tc>
        <w:tc>
          <w:tcPr>
            <w:tcW w:w="506" w:type="dxa"/>
            <w:shd w:val="clear" w:color="auto" w:fill="FFC000"/>
          </w:tcPr>
          <w:p w14:paraId="19994F7E" w14:textId="77777777" w:rsidR="00F657FA" w:rsidRPr="00943340" w:rsidRDefault="00F657FA" w:rsidP="00943340">
            <w:pPr>
              <w:pStyle w:val="ListParagraph"/>
              <w:numPr>
                <w:ilvl w:val="0"/>
                <w:numId w:val="19"/>
              </w:numPr>
              <w:rPr>
                <w:rFonts w:cs="Arial"/>
              </w:rPr>
            </w:pPr>
          </w:p>
        </w:tc>
      </w:tr>
    </w:tbl>
    <w:p w14:paraId="7914AE8C" w14:textId="77777777" w:rsidR="00105B0E" w:rsidRDefault="00105B0E" w:rsidP="00884E8D">
      <w:pPr>
        <w:rPr>
          <w:rFonts w:cs="Arial"/>
        </w:rPr>
      </w:pPr>
    </w:p>
    <w:p w14:paraId="120D3520" w14:textId="26DA879C" w:rsidR="00BD1BA5" w:rsidRDefault="00BD1BA5" w:rsidP="00BD1BA5">
      <w:pPr>
        <w:pStyle w:val="NormalWeb"/>
        <w:spacing w:before="0" w:beforeAutospacing="0" w:after="0" w:afterAutospacing="0"/>
        <w:rPr>
          <w:rFonts w:ascii="Arial" w:hAnsi="Arial" w:cs="Arial"/>
          <w:b/>
          <w:bCs/>
          <w:color w:val="002060"/>
          <w:shd w:val="clear" w:color="auto" w:fill="FFFFFF"/>
        </w:rPr>
      </w:pPr>
      <w:r w:rsidRPr="00BD1BA5">
        <w:rPr>
          <w:rFonts w:ascii="Arial" w:hAnsi="Arial" w:cs="Arial"/>
          <w:b/>
          <w:bCs/>
          <w:color w:val="002060"/>
          <w:shd w:val="clear" w:color="auto" w:fill="FFFFFF"/>
        </w:rPr>
        <w:t>Future focus</w:t>
      </w:r>
    </w:p>
    <w:p w14:paraId="2B6D07CA" w14:textId="77777777" w:rsidR="00794FED" w:rsidRPr="00BD1BA5" w:rsidRDefault="00794FED" w:rsidP="00BD1BA5">
      <w:pPr>
        <w:pStyle w:val="NormalWeb"/>
        <w:spacing w:before="0" w:beforeAutospacing="0" w:after="0" w:afterAutospacing="0"/>
        <w:rPr>
          <w:rFonts w:ascii="Arial" w:hAnsi="Arial" w:cs="Arial"/>
          <w:b/>
          <w:bCs/>
          <w:color w:val="002060"/>
          <w:sz w:val="22"/>
          <w:szCs w:val="22"/>
        </w:rPr>
      </w:pPr>
    </w:p>
    <w:p w14:paraId="75F6F093" w14:textId="77777777" w:rsidR="00CC5D3C" w:rsidRDefault="00CC5D3C" w:rsidP="00CC5D3C">
      <w:pPr>
        <w:rPr>
          <w:rFonts w:cs="Arial"/>
        </w:rPr>
      </w:pPr>
      <w:r>
        <w:rPr>
          <w:rFonts w:cs="Arial"/>
        </w:rPr>
        <w:t>A key focus for the</w:t>
      </w:r>
      <w:r w:rsidRPr="00DD54EA">
        <w:rPr>
          <w:rFonts w:cs="Arial"/>
        </w:rPr>
        <w:t xml:space="preserve"> ICS-wide Travel, Transport and Air Quality workstream, </w:t>
      </w:r>
      <w:r>
        <w:rPr>
          <w:rFonts w:cs="Arial"/>
        </w:rPr>
        <w:t xml:space="preserve">to decarbonise travel and transport across the ICS </w:t>
      </w:r>
      <w:r w:rsidRPr="00DD54EA">
        <w:rPr>
          <w:rFonts w:cs="Arial"/>
        </w:rPr>
        <w:t>will be undertaking a major fleet optimisation study designed to identify and remove unnecessary, replicated journeys by vehicles from NBT, UHBW, Sirona and AW</w:t>
      </w:r>
      <w:r>
        <w:rPr>
          <w:rFonts w:cs="Arial"/>
        </w:rPr>
        <w:t>P.</w:t>
      </w:r>
    </w:p>
    <w:p w14:paraId="59F7CCB0" w14:textId="0B2574D8" w:rsidR="00AB0680" w:rsidRPr="00A2445B" w:rsidRDefault="00AB0680" w:rsidP="00A2445B">
      <w:pPr>
        <w:pStyle w:val="ListParagraph"/>
        <w:numPr>
          <w:ilvl w:val="0"/>
          <w:numId w:val="26"/>
        </w:numPr>
        <w:rPr>
          <w:rFonts w:cs="Arial"/>
        </w:rPr>
      </w:pPr>
      <w:r w:rsidRPr="00A2445B">
        <w:rPr>
          <w:rFonts w:cs="Arial"/>
        </w:rPr>
        <w:t xml:space="preserve">Barriers to </w:t>
      </w:r>
      <w:r w:rsidR="00AE1A47">
        <w:rPr>
          <w:rFonts w:cs="Arial"/>
        </w:rPr>
        <w:t xml:space="preserve">overcome in </w:t>
      </w:r>
      <w:r w:rsidRPr="00A2445B">
        <w:rPr>
          <w:rFonts w:cs="Arial"/>
        </w:rPr>
        <w:t>implementing ZEV are range anxiety, vehicle charging on site and at home</w:t>
      </w:r>
      <w:r w:rsidR="00B6071C" w:rsidRPr="00A2445B">
        <w:rPr>
          <w:rFonts w:cs="Arial"/>
        </w:rPr>
        <w:t xml:space="preserve">, availability of </w:t>
      </w:r>
      <w:r w:rsidR="00F92BA4" w:rsidRPr="00A2445B">
        <w:rPr>
          <w:rFonts w:cs="Arial"/>
        </w:rPr>
        <w:t>suitable vehicle types</w:t>
      </w:r>
      <w:r w:rsidRPr="00A2445B">
        <w:rPr>
          <w:rFonts w:cs="Arial"/>
        </w:rPr>
        <w:t xml:space="preserve"> and </w:t>
      </w:r>
      <w:r w:rsidR="00F92BA4" w:rsidRPr="00A2445B">
        <w:rPr>
          <w:rFonts w:cs="Arial"/>
        </w:rPr>
        <w:t xml:space="preserve">the </w:t>
      </w:r>
      <w:r w:rsidRPr="00A2445B">
        <w:rPr>
          <w:rFonts w:cs="Arial"/>
        </w:rPr>
        <w:t xml:space="preserve">capital funding required. </w:t>
      </w:r>
    </w:p>
    <w:p w14:paraId="253AC766" w14:textId="6C294117" w:rsidR="00C62B17" w:rsidRDefault="00F82340" w:rsidP="00C62B17">
      <w:pPr>
        <w:pStyle w:val="ListParagraph"/>
        <w:numPr>
          <w:ilvl w:val="0"/>
          <w:numId w:val="19"/>
        </w:numPr>
        <w:rPr>
          <w:rFonts w:cs="Arial"/>
        </w:rPr>
      </w:pPr>
      <w:r>
        <w:rPr>
          <w:rFonts w:cs="Arial"/>
        </w:rPr>
        <w:t>Staff and patient t</w:t>
      </w:r>
      <w:r w:rsidR="00C62B17">
        <w:rPr>
          <w:rFonts w:cs="Arial"/>
        </w:rPr>
        <w:t>ravel emissions are currently</w:t>
      </w:r>
      <w:r w:rsidR="00F01C1B">
        <w:rPr>
          <w:rFonts w:cs="Arial"/>
        </w:rPr>
        <w:t xml:space="preserve"> </w:t>
      </w:r>
      <w:r w:rsidR="00F01C1B" w:rsidRPr="00D94639">
        <w:rPr>
          <w:rFonts w:cs="Arial"/>
        </w:rPr>
        <w:t xml:space="preserve">not recorded </w:t>
      </w:r>
      <w:r w:rsidR="00F01C1B">
        <w:rPr>
          <w:rFonts w:cs="Arial"/>
        </w:rPr>
        <w:t>or</w:t>
      </w:r>
      <w:r w:rsidR="00C62B17">
        <w:rPr>
          <w:rFonts w:cs="Arial"/>
        </w:rPr>
        <w:t xml:space="preserve"> only e</w:t>
      </w:r>
      <w:r w:rsidR="00C62B17" w:rsidRPr="00D94639">
        <w:rPr>
          <w:rFonts w:cs="Arial"/>
        </w:rPr>
        <w:t>stimated from surveys</w:t>
      </w:r>
      <w:r w:rsidR="00F01C1B">
        <w:rPr>
          <w:rFonts w:cs="Arial"/>
        </w:rPr>
        <w:t>.</w:t>
      </w:r>
      <w:r w:rsidR="002D1AB7">
        <w:rPr>
          <w:rFonts w:cs="Arial"/>
        </w:rPr>
        <w:t xml:space="preserve"> </w:t>
      </w:r>
      <w:r w:rsidR="00A2445B">
        <w:rPr>
          <w:rFonts w:cs="Arial"/>
        </w:rPr>
        <w:t>We will look to</w:t>
      </w:r>
      <w:r w:rsidR="002D1AB7">
        <w:rPr>
          <w:rFonts w:cs="Arial"/>
        </w:rPr>
        <w:t xml:space="preserve"> </w:t>
      </w:r>
      <w:r w:rsidR="00C62B17" w:rsidRPr="00D94639">
        <w:rPr>
          <w:rFonts w:cs="Arial"/>
        </w:rPr>
        <w:t>widen UHBW</w:t>
      </w:r>
      <w:r w:rsidR="00A2445B">
        <w:rPr>
          <w:rFonts w:cs="Arial"/>
        </w:rPr>
        <w:t>’s</w:t>
      </w:r>
      <w:r w:rsidR="00C62B17" w:rsidRPr="00D94639">
        <w:rPr>
          <w:rFonts w:cs="Arial"/>
        </w:rPr>
        <w:t xml:space="preserve"> calculated approach</w:t>
      </w:r>
      <w:r w:rsidR="002D1AB7">
        <w:rPr>
          <w:rFonts w:cs="Arial"/>
        </w:rPr>
        <w:t>.</w:t>
      </w:r>
      <w:r w:rsidR="00C62B17">
        <w:rPr>
          <w:rFonts w:cs="Arial"/>
        </w:rPr>
        <w:t xml:space="preserve"> </w:t>
      </w:r>
    </w:p>
    <w:p w14:paraId="567863CF" w14:textId="77777777" w:rsidR="00AE1A47" w:rsidRDefault="00CC5D3C" w:rsidP="00464E6E">
      <w:pPr>
        <w:pStyle w:val="ListParagraph"/>
        <w:numPr>
          <w:ilvl w:val="0"/>
          <w:numId w:val="19"/>
        </w:numPr>
        <w:rPr>
          <w:rFonts w:cs="Arial"/>
        </w:rPr>
      </w:pPr>
      <w:r w:rsidRPr="00A2445B">
        <w:rPr>
          <w:rFonts w:cs="Arial"/>
        </w:rPr>
        <w:t>Adding the use of local authority air quality monitoring will enable all ICS sites to be tracked.</w:t>
      </w:r>
    </w:p>
    <w:p w14:paraId="2BA0B552" w14:textId="4F96437B" w:rsidR="00464E6E" w:rsidRPr="00C04F32" w:rsidRDefault="00CC5D3C" w:rsidP="00464E6E">
      <w:pPr>
        <w:pStyle w:val="ListParagraph"/>
        <w:numPr>
          <w:ilvl w:val="0"/>
          <w:numId w:val="19"/>
        </w:numPr>
        <w:rPr>
          <w:rFonts w:cs="Arial"/>
        </w:rPr>
      </w:pPr>
      <w:r w:rsidRPr="00C04F32">
        <w:rPr>
          <w:rFonts w:cs="Arial"/>
        </w:rPr>
        <w:t xml:space="preserve">The </w:t>
      </w:r>
      <w:r w:rsidR="00826F24" w:rsidRPr="00C04F32">
        <w:rPr>
          <w:rFonts w:cs="Arial"/>
        </w:rPr>
        <w:t xml:space="preserve">remaining gap to net </w:t>
      </w:r>
      <w:r w:rsidR="008B7FFD" w:rsidRPr="00C04F32">
        <w:rPr>
          <w:rFonts w:cs="Arial"/>
        </w:rPr>
        <w:t>zero of 28760 tCO</w:t>
      </w:r>
      <w:r w:rsidR="008B7FFD" w:rsidRPr="00C04F32">
        <w:rPr>
          <w:rFonts w:cs="Arial"/>
          <w:vertAlign w:val="subscript"/>
        </w:rPr>
        <w:t>2</w:t>
      </w:r>
      <w:r w:rsidR="008B7FFD" w:rsidRPr="00C04F32">
        <w:rPr>
          <w:rFonts w:cs="Arial"/>
        </w:rPr>
        <w:t xml:space="preserve">e reflects the </w:t>
      </w:r>
      <w:r w:rsidRPr="00C04F32">
        <w:rPr>
          <w:rFonts w:cs="Arial"/>
        </w:rPr>
        <w:t xml:space="preserve">challenges of transport </w:t>
      </w:r>
      <w:r w:rsidR="008B7FFD" w:rsidRPr="00C04F32">
        <w:rPr>
          <w:rFonts w:cs="Arial"/>
        </w:rPr>
        <w:t xml:space="preserve">which </w:t>
      </w:r>
      <w:r w:rsidRPr="00C04F32">
        <w:rPr>
          <w:rFonts w:cs="Arial"/>
        </w:rPr>
        <w:t xml:space="preserve">are a much wider problem that no </w:t>
      </w:r>
      <w:r w:rsidR="00BD1BA5" w:rsidRPr="00C04F32">
        <w:rPr>
          <w:rFonts w:cs="Arial"/>
        </w:rPr>
        <w:t xml:space="preserve">single </w:t>
      </w:r>
      <w:r w:rsidRPr="00C04F32">
        <w:rPr>
          <w:rFonts w:cs="Arial"/>
        </w:rPr>
        <w:t>organisation can solve on its own</w:t>
      </w:r>
      <w:r w:rsidR="00BD1BA5" w:rsidRPr="00C04F32">
        <w:rPr>
          <w:rFonts w:cs="Arial"/>
        </w:rPr>
        <w:t xml:space="preserve"> therefore</w:t>
      </w:r>
      <w:r w:rsidRPr="00C04F32">
        <w:rPr>
          <w:rFonts w:cs="Arial"/>
        </w:rPr>
        <w:t xml:space="preserve"> an essential focus will be building on the partnerships that have already been </w:t>
      </w:r>
      <w:r w:rsidR="00BD1BA5" w:rsidRPr="00C04F32">
        <w:rPr>
          <w:rFonts w:cs="Arial"/>
        </w:rPr>
        <w:t>established</w:t>
      </w:r>
      <w:r w:rsidRPr="00C04F32">
        <w:rPr>
          <w:rFonts w:cs="Arial"/>
        </w:rPr>
        <w:t xml:space="preserve"> to ensure the health benefits are realised as part of future transport strategies.</w:t>
      </w:r>
      <w:r w:rsidR="00464E6E" w:rsidRPr="00C04F32">
        <w:rPr>
          <w:rFonts w:cs="Arial"/>
        </w:rPr>
        <w:t xml:space="preserve"> </w:t>
      </w:r>
      <w:r w:rsidR="00464E6E">
        <w:t>The health system as trusted voice must play a leadership role in amplifying the health benefits of partner organisations messages around active travel and air pollution</w:t>
      </w:r>
      <w:r w:rsidR="004C09F3">
        <w:t>.</w:t>
      </w:r>
    </w:p>
    <w:p w14:paraId="7BD9F91E" w14:textId="288E5A21" w:rsidR="00BD1BA5" w:rsidRPr="000F1895" w:rsidRDefault="00BD1BA5" w:rsidP="00BD1BA5">
      <w:pPr>
        <w:pStyle w:val="Subtitle"/>
      </w:pPr>
      <w:r>
        <w:t>2.2.</w:t>
      </w:r>
      <w:r w:rsidR="004246D6">
        <w:t>2</w:t>
      </w:r>
      <w:r>
        <w:t xml:space="preserve"> </w:t>
      </w:r>
      <w:r w:rsidR="0089627E">
        <w:t>Waste</w:t>
      </w:r>
      <w:r w:rsidR="00207B8C">
        <w:t xml:space="preserve"> </w:t>
      </w:r>
    </w:p>
    <w:p w14:paraId="017953BB" w14:textId="73D76017" w:rsidR="0082049E" w:rsidRPr="00336C98" w:rsidRDefault="0082049E" w:rsidP="0082049E">
      <w:pPr>
        <w:rPr>
          <w:rFonts w:cs="Arial"/>
        </w:rPr>
      </w:pPr>
      <w:r w:rsidRPr="00336C98">
        <w:rPr>
          <w:rFonts w:cs="Arial"/>
        </w:rPr>
        <w:lastRenderedPageBreak/>
        <w:t xml:space="preserve">The impacts of healthcare waste on our environment are particularly high given the large volumes of single use and contaminated waste produced and high carbon methods of disposal. High carbon and high-cost waste disposal solutions go hand in hand. Seeking more sustainable solutions therefore has the joint benefit of reducing carbon and cost. </w:t>
      </w:r>
      <w:r w:rsidR="00310158">
        <w:rPr>
          <w:rFonts w:cs="Arial"/>
        </w:rPr>
        <w:t>Reducing w</w:t>
      </w:r>
      <w:r w:rsidR="0042132E">
        <w:rPr>
          <w:rFonts w:cs="Arial"/>
        </w:rPr>
        <w:t>aste is not just about disposa</w:t>
      </w:r>
      <w:r w:rsidR="00310158">
        <w:rPr>
          <w:rFonts w:cs="Arial"/>
        </w:rPr>
        <w:t>l</w:t>
      </w:r>
      <w:r w:rsidR="0042132E">
        <w:rPr>
          <w:rFonts w:cs="Arial"/>
        </w:rPr>
        <w:t xml:space="preserve"> but</w:t>
      </w:r>
      <w:r w:rsidR="00310158">
        <w:rPr>
          <w:rFonts w:cs="Arial"/>
        </w:rPr>
        <w:t xml:space="preserve"> tackling unnecessary consumption and working with suppliers </w:t>
      </w:r>
      <w:r w:rsidR="00230EC4">
        <w:rPr>
          <w:rFonts w:cs="Arial"/>
        </w:rPr>
        <w:t xml:space="preserve">to </w:t>
      </w:r>
      <w:r w:rsidR="0028162C">
        <w:rPr>
          <w:rFonts w:cs="Arial"/>
        </w:rPr>
        <w:t>develop circular economy approaches to minimise waste generated.</w:t>
      </w:r>
    </w:p>
    <w:p w14:paraId="5589D27A" w14:textId="293DBD78" w:rsidR="00305860" w:rsidRDefault="00BC3A3A" w:rsidP="005F120B">
      <w:r>
        <w:rPr>
          <w:noProof/>
        </w:rPr>
        <w:drawing>
          <wp:inline distT="0" distB="0" distL="0" distR="0" wp14:anchorId="2891EAAC" wp14:editId="6B9E7F26">
            <wp:extent cx="6190615" cy="2628900"/>
            <wp:effectExtent l="0" t="0" r="635" b="0"/>
            <wp:docPr id="20" name="Chart 20" descr="Stacked line graph showing the carbon trajectory for each financial year from 2023-2030 for waste interventions such as increased recycling, clinical waste strategy, zero waste to landfill, behaviour change improving segregation and unfunded further action. ">
              <a:extLst xmlns:a="http://schemas.openxmlformats.org/drawingml/2006/main">
                <a:ext uri="{FF2B5EF4-FFF2-40B4-BE49-F238E27FC236}">
                  <a16:creationId xmlns:a16="http://schemas.microsoft.com/office/drawing/2014/main" id="{3BA49A30-F83C-4DB8-901B-A6B8E3ADD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Look w:val="04A0" w:firstRow="1" w:lastRow="0" w:firstColumn="1" w:lastColumn="0" w:noHBand="0" w:noVBand="1"/>
      </w:tblPr>
      <w:tblGrid>
        <w:gridCol w:w="2547"/>
        <w:gridCol w:w="6662"/>
        <w:gridCol w:w="530"/>
      </w:tblGrid>
      <w:tr w:rsidR="0028162C" w14:paraId="55FFA4AF" w14:textId="7207FC1B" w:rsidTr="003246FA">
        <w:trPr>
          <w:cantSplit/>
          <w:trHeight w:val="1134"/>
        </w:trPr>
        <w:tc>
          <w:tcPr>
            <w:tcW w:w="2547" w:type="dxa"/>
          </w:tcPr>
          <w:p w14:paraId="2555F56D" w14:textId="77777777" w:rsidR="0028162C" w:rsidRDefault="0028162C" w:rsidP="00D41CE3">
            <w:r>
              <w:t>Target</w:t>
            </w:r>
          </w:p>
        </w:tc>
        <w:tc>
          <w:tcPr>
            <w:tcW w:w="6662" w:type="dxa"/>
          </w:tcPr>
          <w:p w14:paraId="6DB50EA4" w14:textId="77777777" w:rsidR="0028162C" w:rsidRDefault="0028162C" w:rsidP="00D41CE3">
            <w:r>
              <w:t>Progress</w:t>
            </w:r>
          </w:p>
        </w:tc>
        <w:tc>
          <w:tcPr>
            <w:tcW w:w="530" w:type="dxa"/>
            <w:textDirection w:val="btLr"/>
          </w:tcPr>
          <w:p w14:paraId="375F87C1" w14:textId="4F5838AB" w:rsidR="0028162C" w:rsidRDefault="007518C7" w:rsidP="007518C7">
            <w:pPr>
              <w:spacing w:after="0"/>
              <w:ind w:left="113" w:right="113"/>
            </w:pPr>
            <w:r>
              <w:t>RAG</w:t>
            </w:r>
          </w:p>
        </w:tc>
      </w:tr>
      <w:tr w:rsidR="0028162C" w14:paraId="1EA8E89C" w14:textId="19236371" w:rsidTr="003246FA">
        <w:tc>
          <w:tcPr>
            <w:tcW w:w="2547" w:type="dxa"/>
          </w:tcPr>
          <w:p w14:paraId="501944B8" w14:textId="77777777" w:rsidR="0028162C" w:rsidRDefault="0028162C" w:rsidP="00D41CE3">
            <w:r>
              <w:t>Waste Contract in place by April 2024</w:t>
            </w:r>
          </w:p>
          <w:p w14:paraId="58BDE6CB" w14:textId="77777777" w:rsidR="0028162C" w:rsidRDefault="0028162C" w:rsidP="00CB0BC5">
            <w:r w:rsidRPr="00AA142F">
              <w:t>Zero waste to landfill by March 2025</w:t>
            </w:r>
          </w:p>
          <w:p w14:paraId="4B5DB832" w14:textId="791EC8E5" w:rsidR="0028162C" w:rsidRDefault="0028162C" w:rsidP="00D41CE3"/>
        </w:tc>
        <w:tc>
          <w:tcPr>
            <w:tcW w:w="6662" w:type="dxa"/>
          </w:tcPr>
          <w:p w14:paraId="3E231AB3" w14:textId="51BD110C" w:rsidR="0028162C" w:rsidRPr="00CB0BC5" w:rsidRDefault="002224A8" w:rsidP="00CB0BC5">
            <w:pPr>
              <w:pStyle w:val="ListParagraph"/>
              <w:numPr>
                <w:ilvl w:val="0"/>
                <w:numId w:val="20"/>
              </w:numPr>
              <w:rPr>
                <w:rFonts w:cs="Arial"/>
              </w:rPr>
            </w:pPr>
            <w:r>
              <w:rPr>
                <w:rFonts w:cs="Arial"/>
              </w:rPr>
              <w:t>New w</w:t>
            </w:r>
            <w:r w:rsidR="0028162C">
              <w:rPr>
                <w:rFonts w:cs="Arial"/>
              </w:rPr>
              <w:t>aste contract</w:t>
            </w:r>
            <w:r>
              <w:rPr>
                <w:rFonts w:cs="Arial"/>
              </w:rPr>
              <w:t>s have been delayed</w:t>
            </w:r>
            <w:r w:rsidR="0028162C">
              <w:rPr>
                <w:rFonts w:cs="Arial"/>
              </w:rPr>
              <w:t>.</w:t>
            </w:r>
            <w:r w:rsidR="0028162C" w:rsidRPr="00CB0BC5">
              <w:rPr>
                <w:rFonts w:cs="Arial"/>
              </w:rPr>
              <w:t xml:space="preserve"> The Trusts launched a joint tender for Sustainable Waste Management services, with a focus on and commitment to environmental protection, carbon reduction and the circular economy. The tender dedicated 20% of its quality award criteria to these requirements in addition to a further 10% for social value. The immediate impacts will be to eliminate waste to landfill and to carbon footprint the service.  </w:t>
            </w:r>
          </w:p>
          <w:p w14:paraId="63C4126D" w14:textId="77777777" w:rsidR="0028162C" w:rsidRPr="00CB0BC5" w:rsidRDefault="0028162C" w:rsidP="00CB0BC5">
            <w:pPr>
              <w:pStyle w:val="ListParagraph"/>
              <w:numPr>
                <w:ilvl w:val="0"/>
                <w:numId w:val="20"/>
              </w:numPr>
              <w:rPr>
                <w:rFonts w:cs="Arial"/>
              </w:rPr>
            </w:pPr>
            <w:r w:rsidRPr="00CB0BC5">
              <w:rPr>
                <w:rFonts w:cs="Arial"/>
              </w:rPr>
              <w:t xml:space="preserve">The project adopted the </w:t>
            </w:r>
            <w:proofErr w:type="spellStart"/>
            <w:r w:rsidRPr="00CB0BC5">
              <w:rPr>
                <w:rFonts w:cs="Arial"/>
              </w:rPr>
              <w:t>EcoQUIP</w:t>
            </w:r>
            <w:proofErr w:type="spellEnd"/>
            <w:r w:rsidRPr="00CB0BC5">
              <w:rPr>
                <w:rFonts w:cs="Arial"/>
              </w:rPr>
              <w:t xml:space="preserve"> Plus innovation procurement methodology, taking the project team through the process of needs identification, through market engagement and the adoption of pro-innovation tendering and contracting approaches. We will be applying the learning to the sustainability challenges of procurement more widely. Further information on the </w:t>
            </w:r>
            <w:proofErr w:type="spellStart"/>
            <w:r w:rsidRPr="00CB0BC5">
              <w:rPr>
                <w:rFonts w:cs="Arial"/>
              </w:rPr>
              <w:t>EcoQuip</w:t>
            </w:r>
            <w:proofErr w:type="spellEnd"/>
            <w:r w:rsidRPr="00CB0BC5">
              <w:rPr>
                <w:rFonts w:cs="Arial"/>
              </w:rPr>
              <w:t xml:space="preserve"> Plus innovation procurement methodology and the project, can be found in the </w:t>
            </w:r>
            <w:hyperlink r:id="rId19">
              <w:r w:rsidRPr="00CB0BC5">
                <w:rPr>
                  <w:rStyle w:val="Hyperlink"/>
                  <w:rFonts w:cs="Arial"/>
                </w:rPr>
                <w:t>case study report</w:t>
              </w:r>
            </w:hyperlink>
            <w:r w:rsidRPr="00CB0BC5">
              <w:rPr>
                <w:rFonts w:cs="Arial"/>
              </w:rPr>
              <w:t xml:space="preserve">. </w:t>
            </w:r>
          </w:p>
          <w:p w14:paraId="458E7B94" w14:textId="77777777" w:rsidR="0028162C" w:rsidRDefault="0028162C" w:rsidP="00D41CE3">
            <w:pPr>
              <w:pStyle w:val="ListParagraph"/>
              <w:numPr>
                <w:ilvl w:val="0"/>
                <w:numId w:val="19"/>
              </w:numPr>
            </w:pPr>
            <w:r>
              <w:t xml:space="preserve">30,000 masks were donated for reuse, avoiding 5 tonnes of </w:t>
            </w:r>
            <w:proofErr w:type="gramStart"/>
            <w:r>
              <w:t>CO2e</w:t>
            </w:r>
            <w:proofErr w:type="gramEnd"/>
          </w:p>
          <w:p w14:paraId="65704235" w14:textId="450EEA02" w:rsidR="0028162C" w:rsidRDefault="0028162C" w:rsidP="00D41CE3">
            <w:pPr>
              <w:pStyle w:val="ListParagraph"/>
              <w:numPr>
                <w:ilvl w:val="0"/>
                <w:numId w:val="19"/>
              </w:numPr>
            </w:pPr>
            <w:r>
              <w:lastRenderedPageBreak/>
              <w:t xml:space="preserve">356 mattresses were donated for reuse, avoiding 3 tonnes of </w:t>
            </w:r>
            <w:proofErr w:type="gramStart"/>
            <w:r>
              <w:t>CO2e</w:t>
            </w:r>
            <w:proofErr w:type="gramEnd"/>
            <w:r>
              <w:t xml:space="preserve"> and saving £13.6k</w:t>
            </w:r>
          </w:p>
        </w:tc>
        <w:tc>
          <w:tcPr>
            <w:tcW w:w="530" w:type="dxa"/>
            <w:shd w:val="clear" w:color="auto" w:fill="FF0000"/>
          </w:tcPr>
          <w:p w14:paraId="7DAAAF7A" w14:textId="77777777" w:rsidR="0028162C" w:rsidRDefault="0028162C" w:rsidP="0028162C">
            <w:pPr>
              <w:pStyle w:val="ListParagraph"/>
              <w:rPr>
                <w:rFonts w:cs="Arial"/>
              </w:rPr>
            </w:pPr>
          </w:p>
        </w:tc>
      </w:tr>
      <w:tr w:rsidR="0028162C" w14:paraId="345870AC" w14:textId="37135E85" w:rsidTr="003246FA">
        <w:tc>
          <w:tcPr>
            <w:tcW w:w="2547" w:type="dxa"/>
          </w:tcPr>
          <w:p w14:paraId="352214E5" w14:textId="140FB522" w:rsidR="0028162C" w:rsidRDefault="0028162C" w:rsidP="00D41CE3">
            <w:r w:rsidRPr="00A73B43">
              <w:t>Recycling weight: 60% of all waste reused or recycled by March 2026, 80% by 2028, 100% by 2030</w:t>
            </w:r>
          </w:p>
        </w:tc>
        <w:tc>
          <w:tcPr>
            <w:tcW w:w="6662" w:type="dxa"/>
          </w:tcPr>
          <w:p w14:paraId="0E987BB4" w14:textId="415F7B37" w:rsidR="00B63F86" w:rsidRPr="00B63F86" w:rsidRDefault="0028162C" w:rsidP="00B63F86">
            <w:pPr>
              <w:pStyle w:val="ListParagraph"/>
              <w:numPr>
                <w:ilvl w:val="0"/>
                <w:numId w:val="19"/>
              </w:numPr>
            </w:pPr>
            <w:r>
              <w:rPr>
                <w:rFonts w:cs="Arial"/>
              </w:rPr>
              <w:t xml:space="preserve">With a focus on the waste hierarchy at AWP and UHBW recycling rates have increased </w:t>
            </w:r>
            <w:r w:rsidR="00D71E6D">
              <w:rPr>
                <w:rFonts w:cs="Arial"/>
              </w:rPr>
              <w:t>from 36% to 41%.</w:t>
            </w:r>
          </w:p>
          <w:p w14:paraId="4BFFEDF3" w14:textId="020DFDCD" w:rsidR="0028162C" w:rsidRPr="00937948" w:rsidRDefault="0028162C" w:rsidP="00B63F86">
            <w:pPr>
              <w:pStyle w:val="ListParagraph"/>
              <w:numPr>
                <w:ilvl w:val="0"/>
                <w:numId w:val="19"/>
              </w:numPr>
            </w:pPr>
            <w:proofErr w:type="spellStart"/>
            <w:r>
              <w:t>Warpit</w:t>
            </w:r>
            <w:proofErr w:type="spellEnd"/>
            <w:r>
              <w:t xml:space="preserve"> </w:t>
            </w:r>
            <w:r w:rsidR="00F53865">
              <w:t xml:space="preserve">system for reuse of equipment </w:t>
            </w:r>
            <w:r>
              <w:t>across NBT an UHBW has enabled cost saving of £342k and tCO2e</w:t>
            </w:r>
          </w:p>
        </w:tc>
        <w:tc>
          <w:tcPr>
            <w:tcW w:w="530" w:type="dxa"/>
            <w:shd w:val="clear" w:color="auto" w:fill="FFC000"/>
          </w:tcPr>
          <w:p w14:paraId="7D1DDFEA" w14:textId="77777777" w:rsidR="0028162C" w:rsidRDefault="0028162C" w:rsidP="0028162C">
            <w:pPr>
              <w:pStyle w:val="ListParagraph"/>
              <w:rPr>
                <w:rFonts w:cs="Arial"/>
              </w:rPr>
            </w:pPr>
          </w:p>
        </w:tc>
      </w:tr>
      <w:tr w:rsidR="0028162C" w14:paraId="58DA687D" w14:textId="62269BEE" w:rsidTr="003246FA">
        <w:tc>
          <w:tcPr>
            <w:tcW w:w="2547" w:type="dxa"/>
          </w:tcPr>
          <w:p w14:paraId="3FE757D1" w14:textId="1552CE32" w:rsidR="0028162C" w:rsidRDefault="0028162C" w:rsidP="00D41CE3">
            <w:r w:rsidRPr="00A66FDF">
              <w:t xml:space="preserve">Deliver plan to achieve </w:t>
            </w:r>
            <w:r w:rsidR="004600C3" w:rsidRPr="003832B4">
              <w:rPr>
                <w:rFonts w:cs="Arial"/>
              </w:rPr>
              <w:t xml:space="preserve">a 20:20:60 split across clinical waste sent for incineration, alternative </w:t>
            </w:r>
            <w:proofErr w:type="gramStart"/>
            <w:r w:rsidR="004600C3" w:rsidRPr="003832B4">
              <w:rPr>
                <w:rFonts w:cs="Arial"/>
              </w:rPr>
              <w:t>treatment</w:t>
            </w:r>
            <w:proofErr w:type="gramEnd"/>
            <w:r w:rsidR="004600C3" w:rsidRPr="003832B4">
              <w:rPr>
                <w:rFonts w:cs="Arial"/>
              </w:rPr>
              <w:t xml:space="preserve"> and offensive waste treatment by 202</w:t>
            </w:r>
            <w:r w:rsidR="00652CF4">
              <w:rPr>
                <w:rFonts w:cs="Arial"/>
              </w:rPr>
              <w:t>5</w:t>
            </w:r>
          </w:p>
        </w:tc>
        <w:tc>
          <w:tcPr>
            <w:tcW w:w="6662" w:type="dxa"/>
          </w:tcPr>
          <w:p w14:paraId="503B59B1" w14:textId="48368BFB" w:rsidR="0028162C" w:rsidRDefault="0028162C" w:rsidP="003832B4">
            <w:pPr>
              <w:pStyle w:val="ListParagraph"/>
              <w:numPr>
                <w:ilvl w:val="0"/>
                <w:numId w:val="21"/>
              </w:numPr>
              <w:rPr>
                <w:rFonts w:cs="Arial"/>
              </w:rPr>
            </w:pPr>
            <w:r w:rsidRPr="003832B4">
              <w:rPr>
                <w:rFonts w:cs="Arial"/>
              </w:rPr>
              <w:t xml:space="preserve">The Trusts have been working jointly on waste </w:t>
            </w:r>
            <w:r>
              <w:rPr>
                <w:rFonts w:cs="Arial"/>
              </w:rPr>
              <w:t>to make</w:t>
            </w:r>
            <w:r w:rsidRPr="003832B4">
              <w:rPr>
                <w:rFonts w:cs="Arial"/>
              </w:rPr>
              <w:t xml:space="preserve"> progress towards the NHS Clinical Waste Strategy </w:t>
            </w:r>
            <w:proofErr w:type="gramStart"/>
            <w:r w:rsidRPr="003832B4">
              <w:rPr>
                <w:rFonts w:cs="Arial"/>
              </w:rPr>
              <w:t>target</w:t>
            </w:r>
            <w:proofErr w:type="gramEnd"/>
            <w:r w:rsidRPr="003832B4">
              <w:rPr>
                <w:rFonts w:cs="Arial"/>
              </w:rPr>
              <w:t xml:space="preserve"> </w:t>
            </w:r>
          </w:p>
          <w:p w14:paraId="1E919733" w14:textId="777BD0FE" w:rsidR="0028162C" w:rsidRPr="003832B4" w:rsidRDefault="0028162C" w:rsidP="003832B4">
            <w:pPr>
              <w:pStyle w:val="ListParagraph"/>
              <w:numPr>
                <w:ilvl w:val="0"/>
                <w:numId w:val="21"/>
              </w:numPr>
              <w:rPr>
                <w:rFonts w:cs="Arial"/>
              </w:rPr>
            </w:pPr>
            <w:r>
              <w:rPr>
                <w:rFonts w:cs="Arial"/>
              </w:rPr>
              <w:t xml:space="preserve">Reduced clinical waste sent for high temperature incineration </w:t>
            </w:r>
            <w:r w:rsidR="006672B1">
              <w:rPr>
                <w:rFonts w:cs="Arial"/>
              </w:rPr>
              <w:t>by</w:t>
            </w:r>
            <w:r>
              <w:rPr>
                <w:rFonts w:cs="Arial"/>
              </w:rPr>
              <w:t xml:space="preserve"> 396 tonnes</w:t>
            </w:r>
            <w:r w:rsidR="006672B1">
              <w:rPr>
                <w:rFonts w:cs="Arial"/>
              </w:rPr>
              <w:t xml:space="preserve"> being segregated as non-infectious</w:t>
            </w:r>
            <w:r>
              <w:rPr>
                <w:rFonts w:cs="Arial"/>
              </w:rPr>
              <w:t xml:space="preserve"> saving 426 tonnes </w:t>
            </w:r>
            <w:proofErr w:type="gramStart"/>
            <w:r>
              <w:rPr>
                <w:rFonts w:cs="Arial"/>
              </w:rPr>
              <w:t>CO2e</w:t>
            </w:r>
            <w:proofErr w:type="gramEnd"/>
          </w:p>
          <w:p w14:paraId="7032685B" w14:textId="571FB874" w:rsidR="0028162C" w:rsidRPr="00937948" w:rsidRDefault="0028162C" w:rsidP="00D41CE3">
            <w:pPr>
              <w:pStyle w:val="ListParagraph"/>
              <w:numPr>
                <w:ilvl w:val="0"/>
                <w:numId w:val="19"/>
              </w:numPr>
            </w:pPr>
            <w:r>
              <w:t>Progress is dependent on waste contracts being in place</w:t>
            </w:r>
          </w:p>
        </w:tc>
        <w:tc>
          <w:tcPr>
            <w:tcW w:w="530" w:type="dxa"/>
            <w:shd w:val="clear" w:color="auto" w:fill="FFC000"/>
          </w:tcPr>
          <w:p w14:paraId="7E38DD1D" w14:textId="77777777" w:rsidR="00795F46" w:rsidRPr="00795F46" w:rsidRDefault="00795F46" w:rsidP="00795F46"/>
        </w:tc>
      </w:tr>
    </w:tbl>
    <w:p w14:paraId="2B0A59F1" w14:textId="77777777" w:rsidR="00305860" w:rsidRDefault="00305860" w:rsidP="005F120B"/>
    <w:p w14:paraId="1D713F5F" w14:textId="407E67E0" w:rsidR="000D382E" w:rsidRDefault="000D382E" w:rsidP="000D382E">
      <w:pPr>
        <w:pStyle w:val="NormalWeb"/>
        <w:spacing w:before="0" w:beforeAutospacing="0" w:after="0" w:afterAutospacing="0"/>
        <w:contextualSpacing/>
        <w:rPr>
          <w:rFonts w:ascii="Arial" w:hAnsi="Arial" w:cs="Arial"/>
          <w:color w:val="1C1F63" w:themeColor="text1"/>
          <w:sz w:val="22"/>
          <w:szCs w:val="22"/>
        </w:rPr>
      </w:pPr>
      <w:r>
        <w:rPr>
          <w:rFonts w:ascii="Arial" w:hAnsi="Arial" w:cs="Arial"/>
          <w:color w:val="1C1F63" w:themeColor="text1"/>
          <w:sz w:val="22"/>
          <w:szCs w:val="22"/>
        </w:rPr>
        <w:t>NBT have one particularly successful</w:t>
      </w:r>
      <w:r w:rsidR="00CE2654">
        <w:rPr>
          <w:rFonts w:ascii="Arial" w:hAnsi="Arial" w:cs="Arial"/>
          <w:color w:val="1C1F63" w:themeColor="text1"/>
          <w:sz w:val="22"/>
          <w:szCs w:val="22"/>
        </w:rPr>
        <w:t xml:space="preserve"> waste and </w:t>
      </w:r>
      <w:r w:rsidR="00877BA1">
        <w:rPr>
          <w:rFonts w:ascii="Arial" w:hAnsi="Arial" w:cs="Arial"/>
          <w:color w:val="1C1F63" w:themeColor="text1"/>
          <w:sz w:val="22"/>
          <w:szCs w:val="22"/>
        </w:rPr>
        <w:t>consumption</w:t>
      </w:r>
      <w:r>
        <w:rPr>
          <w:rFonts w:ascii="Arial" w:hAnsi="Arial" w:cs="Arial"/>
          <w:color w:val="1C1F63" w:themeColor="text1"/>
          <w:sz w:val="22"/>
          <w:szCs w:val="22"/>
        </w:rPr>
        <w:t xml:space="preserve"> project </w:t>
      </w:r>
      <w:r w:rsidR="00A93EFB">
        <w:rPr>
          <w:rFonts w:ascii="Arial" w:hAnsi="Arial" w:cs="Arial"/>
          <w:color w:val="1C1F63" w:themeColor="text1"/>
          <w:sz w:val="22"/>
          <w:szCs w:val="22"/>
        </w:rPr>
        <w:t xml:space="preserve">shown </w:t>
      </w:r>
      <w:r>
        <w:rPr>
          <w:rFonts w:ascii="Arial" w:hAnsi="Arial" w:cs="Arial"/>
          <w:color w:val="1C1F63" w:themeColor="text1"/>
          <w:sz w:val="22"/>
          <w:szCs w:val="22"/>
        </w:rPr>
        <w:t xml:space="preserve">below which was made possible by a very determined Neurosurgery team who challenged themselves to do things differently. </w:t>
      </w:r>
    </w:p>
    <w:p w14:paraId="1C98D038" w14:textId="77777777" w:rsidR="000D382E" w:rsidRDefault="000D382E" w:rsidP="000D382E">
      <w:pPr>
        <w:pStyle w:val="NormalWeb"/>
        <w:spacing w:before="0" w:beforeAutospacing="0" w:after="0" w:afterAutospacing="0"/>
        <w:contextualSpacing/>
        <w:rPr>
          <w:rFonts w:ascii="Arial" w:hAnsi="Arial" w:cs="Arial"/>
          <w:color w:val="1C1F63" w:themeColor="text1"/>
          <w:sz w:val="22"/>
          <w:szCs w:val="22"/>
        </w:rPr>
      </w:pPr>
    </w:p>
    <w:p w14:paraId="2D78AA5E" w14:textId="77777777" w:rsidR="000D382E" w:rsidRDefault="000D382E" w:rsidP="000D382E">
      <w:pPr>
        <w:pStyle w:val="NormalWeb"/>
        <w:spacing w:before="0" w:beforeAutospacing="0" w:after="0" w:afterAutospacing="0"/>
        <w:contextualSpacing/>
        <w:jc w:val="center"/>
        <w:rPr>
          <w:rFonts w:ascii="Arial" w:hAnsi="Arial" w:cs="Arial"/>
          <w:color w:val="1C1F63" w:themeColor="text1"/>
          <w:sz w:val="22"/>
          <w:szCs w:val="22"/>
        </w:rPr>
      </w:pPr>
      <w:r>
        <w:rPr>
          <w:noProof/>
        </w:rPr>
        <w:drawing>
          <wp:inline distT="0" distB="0" distL="0" distR="0" wp14:anchorId="127E6B0B" wp14:editId="3B879CFA">
            <wp:extent cx="5731510" cy="3043555"/>
            <wp:effectExtent l="0" t="0" r="2540" b="4445"/>
            <wp:docPr id="21" name="Picture 21" descr="Green Operating Day in Neurosurgery&#10;&#10;• Adopting sustainable and net zero principles to ten Neurospinal procedures across three theatres for a whole day.  &#10;• Calculations so far have shown carbon was reduced by 23.49 tonnes CO2e, which was a 58% reduction compared to a normal operating day. &#10;• Rationalisation of instrument sets, in one green surgery run instruments were reduced from 45 to 4 in an incredible effort by the Neurosurgery team. &#10;• There was a 50% reduction in the opening of consumables. &#10;• Waste reduced by 14kg and segregated correctly, saving 1,666 kg CO2e.&#10;• Staff reported an increase in productivity, more efficient workflow, improved communication and work environment.  &#10;• Patients reported noticeable improvements in their overall exper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een Operating Day in Neurosurgery&#10;&#10;• Adopting sustainable and net zero principles to ten Neurospinal procedures across three theatres for a whole day.  &#10;• Calculations so far have shown carbon was reduced by 23.49 tonnes CO2e, which was a 58% reduction compared to a normal operating day. &#10;• Rationalisation of instrument sets, in one green surgery run instruments were reduced from 45 to 4 in an incredible effort by the Neurosurgery team. &#10;• There was a 50% reduction in the opening of consumables. &#10;• Waste reduced by 14kg and segregated correctly, saving 1,666 kg CO2e.&#10;• Staff reported an increase in productivity, more efficient workflow, improved communication and work environment.  &#10;• Patients reported noticeable improvements in their overall experience. "/>
                    <pic:cNvPicPr/>
                  </pic:nvPicPr>
                  <pic:blipFill>
                    <a:blip r:embed="rId20"/>
                    <a:stretch>
                      <a:fillRect/>
                    </a:stretch>
                  </pic:blipFill>
                  <pic:spPr>
                    <a:xfrm>
                      <a:off x="0" y="0"/>
                      <a:ext cx="5731510" cy="3043555"/>
                    </a:xfrm>
                    <a:prstGeom prst="rect">
                      <a:avLst/>
                    </a:prstGeom>
                  </pic:spPr>
                </pic:pic>
              </a:graphicData>
            </a:graphic>
          </wp:inline>
        </w:drawing>
      </w:r>
    </w:p>
    <w:p w14:paraId="119E6D3E" w14:textId="77777777" w:rsidR="000D382E" w:rsidRDefault="000D382E" w:rsidP="000D382E">
      <w:pPr>
        <w:pStyle w:val="NormalWeb"/>
        <w:spacing w:before="0" w:beforeAutospacing="0" w:after="0" w:afterAutospacing="0"/>
        <w:rPr>
          <w:rFonts w:ascii="Arial" w:hAnsi="Arial" w:cs="Arial"/>
          <w:b/>
          <w:bCs/>
          <w:color w:val="002060"/>
          <w:shd w:val="clear" w:color="auto" w:fill="FFFFFF"/>
        </w:rPr>
      </w:pPr>
    </w:p>
    <w:p w14:paraId="5086B65E" w14:textId="77777777" w:rsidR="008014D6" w:rsidRDefault="008014D6" w:rsidP="001718AE">
      <w:pPr>
        <w:pStyle w:val="NormalWeb"/>
        <w:spacing w:before="0" w:beforeAutospacing="0" w:after="0" w:afterAutospacing="0"/>
        <w:rPr>
          <w:rFonts w:ascii="Arial" w:hAnsi="Arial" w:cs="Arial"/>
          <w:b/>
          <w:bCs/>
          <w:color w:val="002060"/>
          <w:shd w:val="clear" w:color="auto" w:fill="FFFFFF"/>
        </w:rPr>
      </w:pPr>
    </w:p>
    <w:p w14:paraId="344AE53E" w14:textId="120538F7" w:rsidR="001718AE" w:rsidRPr="00BD1BA5" w:rsidRDefault="001718AE" w:rsidP="001718AE">
      <w:pPr>
        <w:pStyle w:val="NormalWeb"/>
        <w:spacing w:before="0" w:beforeAutospacing="0" w:after="0" w:afterAutospacing="0"/>
        <w:rPr>
          <w:rFonts w:ascii="Arial" w:hAnsi="Arial" w:cs="Arial"/>
          <w:b/>
          <w:bCs/>
          <w:color w:val="002060"/>
          <w:sz w:val="22"/>
          <w:szCs w:val="22"/>
        </w:rPr>
      </w:pPr>
      <w:r w:rsidRPr="00BD1BA5">
        <w:rPr>
          <w:rFonts w:ascii="Arial" w:hAnsi="Arial" w:cs="Arial"/>
          <w:b/>
          <w:bCs/>
          <w:color w:val="002060"/>
          <w:shd w:val="clear" w:color="auto" w:fill="FFFFFF"/>
        </w:rPr>
        <w:t>Future focus</w:t>
      </w:r>
    </w:p>
    <w:p w14:paraId="6C2A14EE" w14:textId="77777777" w:rsidR="008014D6" w:rsidRDefault="008014D6" w:rsidP="006E3248"/>
    <w:p w14:paraId="01C6AA56" w14:textId="438BFB07" w:rsidR="00A734E8" w:rsidRDefault="00A734E8" w:rsidP="006E3248">
      <w:r>
        <w:t>The key barrier is getting the new</w:t>
      </w:r>
      <w:r w:rsidR="006E3248">
        <w:t xml:space="preserve"> waste contracts in place </w:t>
      </w:r>
      <w:r>
        <w:t xml:space="preserve">so </w:t>
      </w:r>
      <w:r w:rsidR="007146EE">
        <w:t>we will</w:t>
      </w:r>
      <w:r w:rsidR="006E3248">
        <w:t xml:space="preserve"> be </w:t>
      </w:r>
      <w:r w:rsidR="007146EE">
        <w:t xml:space="preserve">able </w:t>
      </w:r>
      <w:r w:rsidR="006E3248">
        <w:t>to work with contractors on reducing waste</w:t>
      </w:r>
      <w:r w:rsidR="00D13DB3">
        <w:t>, increasing recycling</w:t>
      </w:r>
      <w:r w:rsidR="00C223AB">
        <w:t xml:space="preserve">, achieving clinical waste ration. We </w:t>
      </w:r>
      <w:r w:rsidR="007146EE">
        <w:t xml:space="preserve">will focus on reducing </w:t>
      </w:r>
      <w:r w:rsidR="006E3248">
        <w:t xml:space="preserve">single use plastics through </w:t>
      </w:r>
      <w:r w:rsidR="00A766A2">
        <w:t>audits to identify items to work with our</w:t>
      </w:r>
      <w:r w:rsidR="006E3248">
        <w:t xml:space="preserve"> supply chain reducing usage.</w:t>
      </w:r>
      <w:r w:rsidRPr="00A734E8">
        <w:t xml:space="preserve"> </w:t>
      </w:r>
    </w:p>
    <w:p w14:paraId="1F34E94F" w14:textId="3D81660E" w:rsidR="006E3248" w:rsidRDefault="00A734E8" w:rsidP="006E3248">
      <w:r>
        <w:lastRenderedPageBreak/>
        <w:t>The next step is extending and standardising waste monitoring and practices across all organisations.</w:t>
      </w:r>
    </w:p>
    <w:p w14:paraId="7A3E2C13" w14:textId="70EB5695" w:rsidR="008B10E0" w:rsidRDefault="00E71321" w:rsidP="006E3248">
      <w:r>
        <w:t>An important focus will be to e</w:t>
      </w:r>
      <w:r w:rsidR="008B10E0">
        <w:t>ngag</w:t>
      </w:r>
      <w:r>
        <w:t>e</w:t>
      </w:r>
      <w:r w:rsidR="008B10E0">
        <w:t xml:space="preserve"> and support staff to identify and implement</w:t>
      </w:r>
      <w:r>
        <w:t xml:space="preserve"> further</w:t>
      </w:r>
      <w:r w:rsidR="008B10E0">
        <w:t xml:space="preserve"> projects </w:t>
      </w:r>
      <w:r>
        <w:t xml:space="preserve">like the green operating day to </w:t>
      </w:r>
      <w:r w:rsidR="008B10E0">
        <w:t xml:space="preserve">reduce consumption and </w:t>
      </w:r>
      <w:r>
        <w:t>waste.</w:t>
      </w:r>
    </w:p>
    <w:p w14:paraId="77594518" w14:textId="45C74736" w:rsidR="00F83EBB" w:rsidRDefault="009C0BF3" w:rsidP="006E3248">
      <w:r>
        <w:t>Delivering the</w:t>
      </w:r>
      <w:r w:rsidR="00F83EBB">
        <w:t xml:space="preserve"> actions identified will </w:t>
      </w:r>
      <w:r w:rsidR="0040532D">
        <w:t xml:space="preserve">be sufficient </w:t>
      </w:r>
      <w:r>
        <w:t>to achieve</w:t>
      </w:r>
      <w:r w:rsidR="0040532D">
        <w:t xml:space="preserve"> our net zero target but</w:t>
      </w:r>
      <w:r w:rsidR="008B10E0">
        <w:t xml:space="preserve"> delivery is</w:t>
      </w:r>
      <w:r w:rsidR="0040532D">
        <w:t xml:space="preserve"> dependent on waste contracts being in place to enable us to work with suppliers</w:t>
      </w:r>
      <w:r w:rsidR="003A3D8F">
        <w:t xml:space="preserve"> to achieve the targets</w:t>
      </w:r>
      <w:r w:rsidR="0040532D">
        <w:t>.</w:t>
      </w:r>
    </w:p>
    <w:p w14:paraId="4A5DB1DC" w14:textId="77777777" w:rsidR="002E6E79" w:rsidRDefault="002E6E79" w:rsidP="006E3248"/>
    <w:p w14:paraId="64C32BA1" w14:textId="262F8488" w:rsidR="006B251F" w:rsidRPr="000F1895" w:rsidRDefault="006B251F" w:rsidP="006B251F">
      <w:pPr>
        <w:pStyle w:val="Subtitle"/>
      </w:pPr>
      <w:r>
        <w:t>2.2.</w:t>
      </w:r>
      <w:r w:rsidR="001C1124">
        <w:t>3</w:t>
      </w:r>
      <w:r>
        <w:t xml:space="preserve"> Procurement</w:t>
      </w:r>
    </w:p>
    <w:p w14:paraId="7C9D8204" w14:textId="04ABFA67" w:rsidR="004A582E" w:rsidRDefault="004A582E" w:rsidP="004A582E">
      <w:pPr>
        <w:spacing w:before="100" w:beforeAutospacing="1" w:after="100" w:afterAutospacing="1" w:line="240" w:lineRule="auto"/>
        <w:contextualSpacing/>
        <w:rPr>
          <w:rFonts w:cs="Arial"/>
        </w:rPr>
      </w:pPr>
      <w:r w:rsidRPr="00DB024C">
        <w:rPr>
          <w:rFonts w:cs="Arial"/>
        </w:rPr>
        <w:t xml:space="preserve">Scope 3 procurement emissions are the largest source of carbon emissions, with purchased goods and services making up over 60% of the total footprint. This is also our greatest opportunity to use our spend as a positive influence to realise economic, </w:t>
      </w:r>
      <w:proofErr w:type="gramStart"/>
      <w:r w:rsidRPr="00DB024C">
        <w:rPr>
          <w:rFonts w:cs="Arial"/>
        </w:rPr>
        <w:t>social</w:t>
      </w:r>
      <w:proofErr w:type="gramEnd"/>
      <w:r w:rsidRPr="00DB024C">
        <w:rPr>
          <w:rFonts w:cs="Arial"/>
        </w:rPr>
        <w:t xml:space="preserve"> and environmental benefits.</w:t>
      </w:r>
    </w:p>
    <w:p w14:paraId="7F04FAC5" w14:textId="77777777" w:rsidR="00912BE5" w:rsidRDefault="00912BE5" w:rsidP="004A582E">
      <w:pPr>
        <w:spacing w:before="100" w:beforeAutospacing="1" w:after="100" w:afterAutospacing="1" w:line="240" w:lineRule="auto"/>
        <w:contextualSpacing/>
        <w:rPr>
          <w:rFonts w:cs="Arial"/>
        </w:rPr>
      </w:pPr>
    </w:p>
    <w:p w14:paraId="19FFE259" w14:textId="3C220B63" w:rsidR="00714DF8" w:rsidRDefault="00B2428B" w:rsidP="004A582E">
      <w:pPr>
        <w:spacing w:before="100" w:beforeAutospacing="1" w:after="100" w:afterAutospacing="1" w:line="240" w:lineRule="auto"/>
        <w:contextualSpacing/>
        <w:rPr>
          <w:rFonts w:cs="Arial"/>
        </w:rPr>
      </w:pPr>
      <w:r>
        <w:rPr>
          <w:noProof/>
        </w:rPr>
        <w:drawing>
          <wp:inline distT="0" distB="0" distL="0" distR="0" wp14:anchorId="7B1A5F68" wp14:editId="7878E542">
            <wp:extent cx="6190615" cy="3057525"/>
            <wp:effectExtent l="0" t="0" r="635" b="9525"/>
            <wp:docPr id="22" name="Chart 22" descr="Stacked line graph demonstrating the carbon trajectory for each financial year from 2023-2030 for interventions related to procurement: removing catering plastics, reducing plastics, social value carbon commitments, carbon training impact, decarbonisation of grid, suppliers implementing carbon reduction plans, unfunded further action. ">
              <a:extLst xmlns:a="http://schemas.openxmlformats.org/drawingml/2006/main">
                <a:ext uri="{FF2B5EF4-FFF2-40B4-BE49-F238E27FC236}">
                  <a16:creationId xmlns:a16="http://schemas.microsoft.com/office/drawing/2014/main" id="{F8A2FB21-CE80-4B94-B5BB-6A92D74B0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0DF77D" w14:textId="317AE86F" w:rsidR="002E6E79" w:rsidRPr="00DB024C" w:rsidRDefault="002E6E79" w:rsidP="004A582E">
      <w:pPr>
        <w:spacing w:before="100" w:beforeAutospacing="1" w:after="100" w:afterAutospacing="1" w:line="240" w:lineRule="auto"/>
        <w:contextualSpacing/>
        <w:rPr>
          <w:rFonts w:cs="Arial"/>
        </w:rPr>
      </w:pPr>
    </w:p>
    <w:p w14:paraId="78DC61F4" w14:textId="7249EDEA" w:rsidR="0022194B" w:rsidRDefault="0022194B" w:rsidP="005F120B"/>
    <w:tbl>
      <w:tblPr>
        <w:tblStyle w:val="TableGrid"/>
        <w:tblW w:w="0" w:type="auto"/>
        <w:tblLook w:val="04A0" w:firstRow="1" w:lastRow="0" w:firstColumn="1" w:lastColumn="0" w:noHBand="0" w:noVBand="1"/>
      </w:tblPr>
      <w:tblGrid>
        <w:gridCol w:w="2263"/>
        <w:gridCol w:w="6946"/>
        <w:gridCol w:w="530"/>
      </w:tblGrid>
      <w:tr w:rsidR="001C1A0E" w14:paraId="5594D224" w14:textId="4B5F6830" w:rsidTr="00A93EFB">
        <w:trPr>
          <w:cantSplit/>
          <w:trHeight w:val="1134"/>
        </w:trPr>
        <w:tc>
          <w:tcPr>
            <w:tcW w:w="2263" w:type="dxa"/>
          </w:tcPr>
          <w:p w14:paraId="3F22CFBF" w14:textId="77777777" w:rsidR="001C1A0E" w:rsidRDefault="001C1A0E" w:rsidP="00D41CE3">
            <w:r>
              <w:t>Target</w:t>
            </w:r>
          </w:p>
        </w:tc>
        <w:tc>
          <w:tcPr>
            <w:tcW w:w="6946" w:type="dxa"/>
          </w:tcPr>
          <w:p w14:paraId="3588A0FD" w14:textId="77777777" w:rsidR="001C1A0E" w:rsidRDefault="001C1A0E" w:rsidP="00D41CE3">
            <w:r>
              <w:t>Progress</w:t>
            </w:r>
          </w:p>
        </w:tc>
        <w:tc>
          <w:tcPr>
            <w:tcW w:w="530" w:type="dxa"/>
            <w:textDirection w:val="btLr"/>
          </w:tcPr>
          <w:p w14:paraId="262CE8C8" w14:textId="12F34145" w:rsidR="001C1A0E" w:rsidRDefault="00B752FB" w:rsidP="00B752FB">
            <w:pPr>
              <w:spacing w:after="0"/>
              <w:ind w:left="113" w:right="113"/>
            </w:pPr>
            <w:r>
              <w:t>RAG</w:t>
            </w:r>
          </w:p>
        </w:tc>
      </w:tr>
      <w:tr w:rsidR="001C1A0E" w14:paraId="71510DAF" w14:textId="442FBE2E" w:rsidTr="00A93EFB">
        <w:tc>
          <w:tcPr>
            <w:tcW w:w="2263" w:type="dxa"/>
          </w:tcPr>
          <w:p w14:paraId="04360EB4" w14:textId="7FC169C0" w:rsidR="001C1A0E" w:rsidRDefault="001C1A0E" w:rsidP="00B752FB">
            <w:r w:rsidRPr="00203299">
              <w:t xml:space="preserve">Plan for robust carbon measurement - carbon measurement in new procurement system Sept 2024, </w:t>
            </w:r>
            <w:r w:rsidR="00E959B4" w:rsidRPr="00203299">
              <w:lastRenderedPageBreak/>
              <w:t>targeted</w:t>
            </w:r>
            <w:r w:rsidRPr="00203299">
              <w:t xml:space="preserve"> approach to </w:t>
            </w:r>
            <w:r w:rsidR="00E959B4" w:rsidRPr="00203299">
              <w:t>non-spend</w:t>
            </w:r>
            <w:r w:rsidRPr="00203299">
              <w:t xml:space="preserve"> based measurement of suppliers </w:t>
            </w:r>
          </w:p>
        </w:tc>
        <w:tc>
          <w:tcPr>
            <w:tcW w:w="6946" w:type="dxa"/>
          </w:tcPr>
          <w:p w14:paraId="059200A9" w14:textId="028581ED" w:rsidR="001C1A0E" w:rsidRDefault="001C1A0E" w:rsidP="00CD282C">
            <w:pPr>
              <w:pStyle w:val="ListParagraph"/>
              <w:numPr>
                <w:ilvl w:val="0"/>
                <w:numId w:val="19"/>
              </w:numPr>
              <w:spacing w:before="100" w:beforeAutospacing="1" w:after="100" w:afterAutospacing="1" w:line="240" w:lineRule="auto"/>
              <w:rPr>
                <w:rFonts w:cs="Arial"/>
              </w:rPr>
            </w:pPr>
            <w:r w:rsidRPr="00CD282C">
              <w:rPr>
                <w:rFonts w:cs="Arial"/>
              </w:rPr>
              <w:lastRenderedPageBreak/>
              <w:t xml:space="preserve">The procurement emissions data is presented in this report, but it is important to recognise that the current spend-based methodology does not reflect our carbon performance, nor is it in line with best practice calculation methods. We continue to review alternatives calculation methodologies but have yet to identify a suitable solution to cover the scale and variety that </w:t>
            </w:r>
            <w:r w:rsidRPr="00CD282C">
              <w:rPr>
                <w:rFonts w:cs="Arial"/>
              </w:rPr>
              <w:lastRenderedPageBreak/>
              <w:t xml:space="preserve">exists within our supply chain. </w:t>
            </w:r>
            <w:r>
              <w:rPr>
                <w:rFonts w:cs="Arial"/>
              </w:rPr>
              <w:t xml:space="preserve">Bristol and Weston Purchasing Consortium </w:t>
            </w:r>
            <w:r w:rsidRPr="0054719C">
              <w:rPr>
                <w:rFonts w:cs="Arial"/>
              </w:rPr>
              <w:t>(BWPC</w:t>
            </w:r>
            <w:r>
              <w:rPr>
                <w:rFonts w:cs="Arial"/>
              </w:rPr>
              <w:t>)</w:t>
            </w:r>
            <w:r w:rsidRPr="00CD282C">
              <w:rPr>
                <w:rFonts w:cs="Arial"/>
              </w:rPr>
              <w:t xml:space="preserve"> </w:t>
            </w:r>
            <w:r>
              <w:rPr>
                <w:rFonts w:cs="Arial"/>
              </w:rPr>
              <w:t>is seeking</w:t>
            </w:r>
            <w:r w:rsidRPr="00CD282C">
              <w:rPr>
                <w:rFonts w:cs="Arial"/>
              </w:rPr>
              <w:t xml:space="preserve"> to improve our data as internal systems are upgraded. </w:t>
            </w:r>
          </w:p>
          <w:p w14:paraId="0A0B5F3B" w14:textId="616D3EEA" w:rsidR="001C1A0E" w:rsidRPr="001C1A0E" w:rsidRDefault="001C1A0E" w:rsidP="001C1A0E">
            <w:pPr>
              <w:pStyle w:val="ListParagraph"/>
              <w:numPr>
                <w:ilvl w:val="0"/>
                <w:numId w:val="19"/>
              </w:numPr>
              <w:spacing w:before="100" w:beforeAutospacing="1" w:after="100" w:afterAutospacing="1" w:line="240" w:lineRule="auto"/>
              <w:rPr>
                <w:rFonts w:cs="Arial"/>
              </w:rPr>
            </w:pPr>
            <w:r w:rsidRPr="00CD282C">
              <w:rPr>
                <w:rFonts w:cs="Arial"/>
              </w:rPr>
              <w:t>AWP and Sirona have engaged a contractor CO2Analysis to provide a carbon footprint of their supply chains.</w:t>
            </w:r>
          </w:p>
        </w:tc>
        <w:tc>
          <w:tcPr>
            <w:tcW w:w="530" w:type="dxa"/>
            <w:shd w:val="clear" w:color="auto" w:fill="FFC000"/>
          </w:tcPr>
          <w:p w14:paraId="769FCF90" w14:textId="77777777" w:rsidR="001C1A0E" w:rsidRPr="00CD282C" w:rsidRDefault="001C1A0E" w:rsidP="001C1A0E">
            <w:pPr>
              <w:pStyle w:val="ListParagraph"/>
              <w:spacing w:before="100" w:beforeAutospacing="1" w:after="100" w:afterAutospacing="1" w:line="240" w:lineRule="auto"/>
              <w:rPr>
                <w:rFonts w:cs="Arial"/>
              </w:rPr>
            </w:pPr>
          </w:p>
        </w:tc>
      </w:tr>
      <w:tr w:rsidR="001C1A0E" w14:paraId="241D4CB5" w14:textId="79E6281A" w:rsidTr="00A93EFB">
        <w:tc>
          <w:tcPr>
            <w:tcW w:w="2263" w:type="dxa"/>
          </w:tcPr>
          <w:p w14:paraId="4D86D5B4" w14:textId="0B2DF4D6" w:rsidR="001C1A0E" w:rsidRDefault="001C1A0E" w:rsidP="00D41CE3">
            <w:r w:rsidRPr="003F1BCB">
              <w:t>Process implemented ensuring suppliers have carbon reductions plans for all tenders</w:t>
            </w:r>
            <w:r>
              <w:t xml:space="preserve"> from April 2024</w:t>
            </w:r>
          </w:p>
        </w:tc>
        <w:tc>
          <w:tcPr>
            <w:tcW w:w="6946" w:type="dxa"/>
          </w:tcPr>
          <w:p w14:paraId="38C9786A" w14:textId="3E573D3D" w:rsidR="001C1A0E" w:rsidRPr="00937948" w:rsidRDefault="001C1A0E" w:rsidP="00D41CE3">
            <w:pPr>
              <w:pStyle w:val="ListParagraph"/>
              <w:numPr>
                <w:ilvl w:val="0"/>
                <w:numId w:val="19"/>
              </w:numPr>
            </w:pPr>
            <w:r w:rsidRPr="0054719C">
              <w:rPr>
                <w:rFonts w:cs="Arial"/>
              </w:rPr>
              <w:t>BWPC have been focused on the design of a new procurement system which is going live in summer 2024. The new system will allow suppliers to upload their Carbon Reduction Plans in line with Procurement Policy Notice (PPN) 06/21 which the NHS adopted in 2024. BWPC has also been busy complying with the Modern Slavery Act, delivering modern slavery training to all procurement staff and gaining Trust Board approval for their Modern Slavery Statement which will be published in 2024</w:t>
            </w:r>
          </w:p>
        </w:tc>
        <w:tc>
          <w:tcPr>
            <w:tcW w:w="530" w:type="dxa"/>
            <w:shd w:val="clear" w:color="auto" w:fill="00B050"/>
          </w:tcPr>
          <w:p w14:paraId="0D9D75D1" w14:textId="77777777" w:rsidR="001C1A0E" w:rsidRPr="0054719C" w:rsidRDefault="001C1A0E" w:rsidP="001C1A0E">
            <w:pPr>
              <w:pStyle w:val="ListParagraph"/>
              <w:rPr>
                <w:rFonts w:cs="Arial"/>
              </w:rPr>
            </w:pPr>
          </w:p>
        </w:tc>
      </w:tr>
      <w:tr w:rsidR="001C1A0E" w14:paraId="6B33BEF1" w14:textId="273A3618" w:rsidTr="00A93EFB">
        <w:tc>
          <w:tcPr>
            <w:tcW w:w="2263" w:type="dxa"/>
          </w:tcPr>
          <w:p w14:paraId="13147933" w14:textId="4E911C1F" w:rsidR="001C1A0E" w:rsidRDefault="001C1A0E" w:rsidP="00D41CE3">
            <w:r w:rsidRPr="00A91819">
              <w:t>All tenders include minimum 10% social value weighting by March 2022 and embedded in contract management March 2024</w:t>
            </w:r>
          </w:p>
        </w:tc>
        <w:tc>
          <w:tcPr>
            <w:tcW w:w="6946" w:type="dxa"/>
          </w:tcPr>
          <w:p w14:paraId="1E749817" w14:textId="602894D3" w:rsidR="001C1A0E" w:rsidRPr="001D7624" w:rsidRDefault="001C1A0E" w:rsidP="001D7624">
            <w:pPr>
              <w:pStyle w:val="ListParagraph"/>
              <w:numPr>
                <w:ilvl w:val="0"/>
                <w:numId w:val="21"/>
              </w:numPr>
            </w:pPr>
            <w:r w:rsidRPr="001D7624">
              <w:rPr>
                <w:rFonts w:cs="Arial"/>
              </w:rPr>
              <w:t>Social value weighting included</w:t>
            </w:r>
            <w:r w:rsidR="00BB3D0F">
              <w:rPr>
                <w:rFonts w:cs="Arial"/>
              </w:rPr>
              <w:t xml:space="preserve"> in all tenders</w:t>
            </w:r>
            <w:r w:rsidRPr="001D7624">
              <w:rPr>
                <w:rFonts w:cs="Arial"/>
              </w:rPr>
              <w:t xml:space="preserve"> but not embedded in contract </w:t>
            </w:r>
            <w:proofErr w:type="gramStart"/>
            <w:r w:rsidRPr="001D7624">
              <w:rPr>
                <w:rFonts w:cs="Arial"/>
              </w:rPr>
              <w:t>management</w:t>
            </w:r>
            <w:proofErr w:type="gramEnd"/>
          </w:p>
          <w:p w14:paraId="79FB59DB" w14:textId="77777777" w:rsidR="001C1A0E" w:rsidRPr="002169E4" w:rsidRDefault="001C1A0E" w:rsidP="002169E4">
            <w:pPr>
              <w:pStyle w:val="ListParagraph"/>
              <w:numPr>
                <w:ilvl w:val="0"/>
                <w:numId w:val="21"/>
              </w:numPr>
              <w:spacing w:before="100" w:beforeAutospacing="1" w:after="100" w:afterAutospacing="1" w:line="240" w:lineRule="auto"/>
              <w:rPr>
                <w:rFonts w:cs="Arial"/>
              </w:rPr>
            </w:pPr>
            <w:r w:rsidRPr="002169E4">
              <w:rPr>
                <w:rFonts w:cs="Arial"/>
              </w:rPr>
              <w:t xml:space="preserve">We have created a social value question bank tool that can be used to select the most relevant and proportionate question to ask on net zero amongst other social value outcomes. The sustainability team have also provided advice and been directly involved in the procurement process for some high-risk tenders, creating the sustainability requirements, evaluation criteria and contract management mechanisms for these. </w:t>
            </w:r>
          </w:p>
          <w:p w14:paraId="54C02AB8" w14:textId="35209AD8" w:rsidR="001C1A0E" w:rsidRPr="001C1A0E" w:rsidRDefault="001C1A0E" w:rsidP="001C1A0E">
            <w:pPr>
              <w:pStyle w:val="ListParagraph"/>
              <w:numPr>
                <w:ilvl w:val="0"/>
                <w:numId w:val="21"/>
              </w:numPr>
              <w:spacing w:before="100" w:beforeAutospacing="1" w:after="100" w:afterAutospacing="1" w:line="240" w:lineRule="auto"/>
              <w:rPr>
                <w:rFonts w:cs="Arial"/>
              </w:rPr>
            </w:pPr>
            <w:r w:rsidRPr="002169E4">
              <w:rPr>
                <w:rFonts w:cs="Arial"/>
              </w:rPr>
              <w:t xml:space="preserve">The Sustainability Team has played an advisory role in the implementation of PPN 06/20 with social value being incorporated into seven tenders during the year. In September 2023, the Sustainability Team launched the new Sustainability Impact Assessment (SIA) with an embedded carbon cost calculator which has been embedded in the NBT’s business case process and the ICB’s Gateway Process. The SIA has been shared with the rest of the system along with other NHS organisations, </w:t>
            </w:r>
            <w:proofErr w:type="gramStart"/>
            <w:r w:rsidRPr="002169E4">
              <w:rPr>
                <w:rFonts w:cs="Arial"/>
              </w:rPr>
              <w:t>ICSs</w:t>
            </w:r>
            <w:proofErr w:type="gramEnd"/>
            <w:r w:rsidRPr="002169E4">
              <w:rPr>
                <w:rFonts w:cs="Arial"/>
              </w:rPr>
              <w:t xml:space="preserve"> and NHS England as a pioneering approach to integrate sustainability into business cases and decision making.    </w:t>
            </w:r>
          </w:p>
        </w:tc>
        <w:tc>
          <w:tcPr>
            <w:tcW w:w="530" w:type="dxa"/>
            <w:shd w:val="clear" w:color="auto" w:fill="FF0000"/>
          </w:tcPr>
          <w:p w14:paraId="7F3A102E" w14:textId="77777777" w:rsidR="001C1A0E" w:rsidRPr="001D7624" w:rsidRDefault="001C1A0E" w:rsidP="001C1A0E">
            <w:pPr>
              <w:pStyle w:val="ListParagraph"/>
              <w:rPr>
                <w:rFonts w:cs="Arial"/>
              </w:rPr>
            </w:pPr>
          </w:p>
        </w:tc>
      </w:tr>
    </w:tbl>
    <w:p w14:paraId="437A2C50" w14:textId="3E962105" w:rsidR="0022194B" w:rsidRDefault="0022194B" w:rsidP="005F120B"/>
    <w:p w14:paraId="61301138" w14:textId="255B46BB" w:rsidR="000A185E" w:rsidRDefault="000A185E" w:rsidP="003131A2">
      <w:pPr>
        <w:pStyle w:val="NormalWeb"/>
        <w:spacing w:before="0" w:beforeAutospacing="0" w:after="0" w:afterAutospacing="0"/>
        <w:rPr>
          <w:rFonts w:ascii="Arial" w:hAnsi="Arial" w:cs="Arial"/>
          <w:b/>
          <w:bCs/>
          <w:color w:val="002060"/>
          <w:shd w:val="clear" w:color="auto" w:fill="FFFFFF"/>
        </w:rPr>
      </w:pPr>
    </w:p>
    <w:p w14:paraId="11860EB3" w14:textId="4007C656" w:rsidR="003131A2" w:rsidRDefault="003131A2" w:rsidP="003131A2">
      <w:pPr>
        <w:pStyle w:val="NormalWeb"/>
        <w:spacing w:before="0" w:beforeAutospacing="0" w:after="0" w:afterAutospacing="0"/>
        <w:rPr>
          <w:rFonts w:ascii="Arial" w:hAnsi="Arial" w:cs="Arial"/>
          <w:b/>
          <w:bCs/>
          <w:color w:val="002060"/>
          <w:shd w:val="clear" w:color="auto" w:fill="FFFFFF"/>
        </w:rPr>
      </w:pPr>
      <w:r w:rsidRPr="00BD1BA5">
        <w:rPr>
          <w:rFonts w:ascii="Arial" w:hAnsi="Arial" w:cs="Arial"/>
          <w:b/>
          <w:bCs/>
          <w:color w:val="002060"/>
          <w:shd w:val="clear" w:color="auto" w:fill="FFFFFF"/>
        </w:rPr>
        <w:t>Future focus</w:t>
      </w:r>
    </w:p>
    <w:p w14:paraId="0F2BF07A" w14:textId="0EEDD941" w:rsidR="001D0E6B" w:rsidRPr="00DB024C" w:rsidRDefault="001D0E6B" w:rsidP="001D0E6B">
      <w:pPr>
        <w:spacing w:before="100" w:beforeAutospacing="1" w:after="100" w:afterAutospacing="1" w:line="240" w:lineRule="auto"/>
        <w:contextualSpacing/>
        <w:rPr>
          <w:rFonts w:cs="Arial"/>
        </w:rPr>
      </w:pPr>
      <w:r w:rsidRPr="00DB024C">
        <w:rPr>
          <w:rFonts w:cs="Arial"/>
        </w:rPr>
        <w:t xml:space="preserve">We </w:t>
      </w:r>
      <w:r w:rsidR="00B65760">
        <w:rPr>
          <w:rFonts w:cs="Arial"/>
        </w:rPr>
        <w:t>will continue</w:t>
      </w:r>
      <w:r w:rsidRPr="00DB024C">
        <w:rPr>
          <w:rFonts w:cs="Arial"/>
        </w:rPr>
        <w:t xml:space="preserve"> updating the procurement process and creating new tools to help stakeholders manage the sustainability impact of the procurement process. Our focus </w:t>
      </w:r>
      <w:r w:rsidR="00B65760">
        <w:rPr>
          <w:rFonts w:cs="Arial"/>
        </w:rPr>
        <w:t xml:space="preserve">will also </w:t>
      </w:r>
      <w:proofErr w:type="gramStart"/>
      <w:r w:rsidR="00B65760">
        <w:rPr>
          <w:rFonts w:cs="Arial"/>
        </w:rPr>
        <w:t xml:space="preserve">continue </w:t>
      </w:r>
      <w:r w:rsidRPr="00DB024C">
        <w:rPr>
          <w:rFonts w:cs="Arial"/>
        </w:rPr>
        <w:t>on</w:t>
      </w:r>
      <w:proofErr w:type="gramEnd"/>
      <w:r w:rsidRPr="00DB024C">
        <w:rPr>
          <w:rFonts w:cs="Arial"/>
        </w:rPr>
        <w:t xml:space="preserve"> embedding the NHS England net zero commitment requirement for suppliers’ carbon reduction plans into the procurement documents, templates and sign-off process. These national approaches are expected to deliver a 45% reduction by 2030. </w:t>
      </w:r>
      <w:r w:rsidR="00EA1E6B">
        <w:rPr>
          <w:rFonts w:cs="Arial"/>
        </w:rPr>
        <w:t>There is still a significant gap</w:t>
      </w:r>
      <w:r w:rsidR="00125767">
        <w:rPr>
          <w:rFonts w:cs="Arial"/>
        </w:rPr>
        <w:t xml:space="preserve"> of 26106 tonnes CO</w:t>
      </w:r>
      <w:r w:rsidR="00125767" w:rsidRPr="00125767">
        <w:rPr>
          <w:rFonts w:cs="Arial"/>
          <w:vertAlign w:val="subscript"/>
        </w:rPr>
        <w:t>2</w:t>
      </w:r>
      <w:r w:rsidR="00125767">
        <w:rPr>
          <w:rFonts w:cs="Arial"/>
        </w:rPr>
        <w:t>e</w:t>
      </w:r>
      <w:r w:rsidR="007D6832">
        <w:rPr>
          <w:rFonts w:cs="Arial"/>
        </w:rPr>
        <w:t xml:space="preserve"> of </w:t>
      </w:r>
      <w:r w:rsidR="001A0915">
        <w:rPr>
          <w:rFonts w:cs="Arial"/>
        </w:rPr>
        <w:t xml:space="preserve">unfunded </w:t>
      </w:r>
      <w:r w:rsidR="007D6832">
        <w:rPr>
          <w:rFonts w:cs="Arial"/>
        </w:rPr>
        <w:t>further actions</w:t>
      </w:r>
      <w:r w:rsidR="00B65760">
        <w:rPr>
          <w:rFonts w:cs="Arial"/>
        </w:rPr>
        <w:t xml:space="preserve"> which will </w:t>
      </w:r>
      <w:r w:rsidR="00B65760">
        <w:rPr>
          <w:rFonts w:cs="Arial"/>
        </w:rPr>
        <w:lastRenderedPageBreak/>
        <w:t xml:space="preserve">be </w:t>
      </w:r>
      <w:proofErr w:type="gramStart"/>
      <w:r w:rsidR="00B65760">
        <w:rPr>
          <w:rFonts w:cs="Arial"/>
        </w:rPr>
        <w:t xml:space="preserve">required </w:t>
      </w:r>
      <w:r w:rsidR="007D6832">
        <w:rPr>
          <w:rFonts w:cs="Arial"/>
        </w:rPr>
        <w:t xml:space="preserve"> to</w:t>
      </w:r>
      <w:proofErr w:type="gramEnd"/>
      <w:r w:rsidR="007D6832">
        <w:rPr>
          <w:rFonts w:cs="Arial"/>
        </w:rPr>
        <w:t xml:space="preserve"> reduce </w:t>
      </w:r>
      <w:r w:rsidR="00B65760">
        <w:rPr>
          <w:rFonts w:cs="Arial"/>
        </w:rPr>
        <w:t>emissions by 90</w:t>
      </w:r>
      <w:r w:rsidR="008842E1">
        <w:rPr>
          <w:rFonts w:cs="Arial"/>
        </w:rPr>
        <w:t xml:space="preserve">% to achieve net zero. </w:t>
      </w:r>
      <w:r w:rsidR="00BB2E87">
        <w:rPr>
          <w:rFonts w:cs="Arial"/>
        </w:rPr>
        <w:t>Our approach to reducing this gap includes:</w:t>
      </w:r>
    </w:p>
    <w:p w14:paraId="23B5443A" w14:textId="77777777" w:rsidR="001D0E6B" w:rsidRPr="00DB024C" w:rsidRDefault="001D0E6B" w:rsidP="001D0E6B">
      <w:pPr>
        <w:spacing w:before="100" w:beforeAutospacing="1" w:after="100" w:afterAutospacing="1" w:line="240" w:lineRule="auto"/>
        <w:contextualSpacing/>
        <w:rPr>
          <w:rFonts w:cs="Arial"/>
        </w:rPr>
      </w:pPr>
    </w:p>
    <w:p w14:paraId="6F4098C2" w14:textId="77777777" w:rsidR="001D0E6B" w:rsidRPr="004838E1" w:rsidRDefault="001D0E6B" w:rsidP="004838E1">
      <w:pPr>
        <w:pStyle w:val="ListParagraph"/>
        <w:numPr>
          <w:ilvl w:val="0"/>
          <w:numId w:val="27"/>
        </w:numPr>
        <w:spacing w:before="100" w:beforeAutospacing="1" w:after="100" w:afterAutospacing="1" w:line="240" w:lineRule="auto"/>
        <w:rPr>
          <w:rFonts w:cs="Arial"/>
        </w:rPr>
      </w:pPr>
      <w:r w:rsidRPr="004838E1">
        <w:rPr>
          <w:rFonts w:cs="Arial"/>
        </w:rPr>
        <w:t xml:space="preserve">In 2024-25, Category Managers will undertake a risk assessment of their categories to identify supply chain risks and opportunities to integrate into tenders and will work with NHS Supply Chain and the Sustainability Team to implement carbon and waste reduction projects. </w:t>
      </w:r>
    </w:p>
    <w:p w14:paraId="4756BF0F" w14:textId="195AE4A5" w:rsidR="00FC4136" w:rsidRPr="00FC4136" w:rsidRDefault="00FC4136" w:rsidP="00FC4136">
      <w:pPr>
        <w:pStyle w:val="ListParagraph"/>
        <w:numPr>
          <w:ilvl w:val="0"/>
          <w:numId w:val="7"/>
        </w:numPr>
        <w:spacing w:after="120" w:line="259" w:lineRule="auto"/>
        <w:contextualSpacing w:val="0"/>
        <w:rPr>
          <w:rFonts w:cs="Arial"/>
        </w:rPr>
      </w:pPr>
      <w:r>
        <w:rPr>
          <w:rFonts w:cs="Arial"/>
        </w:rPr>
        <w:t>Developing a non-spend based approa</w:t>
      </w:r>
      <w:r w:rsidR="00C63ACE">
        <w:rPr>
          <w:rFonts w:cs="Arial"/>
        </w:rPr>
        <w:t>ch to m</w:t>
      </w:r>
      <w:r w:rsidRPr="00B37CE8">
        <w:rPr>
          <w:rFonts w:cs="Arial"/>
        </w:rPr>
        <w:t xml:space="preserve">easuring our </w:t>
      </w:r>
      <w:r w:rsidR="00C63ACE">
        <w:rPr>
          <w:rFonts w:cs="Arial"/>
        </w:rPr>
        <w:t xml:space="preserve">supply chain emissions to drive </w:t>
      </w:r>
      <w:r w:rsidRPr="00B37CE8">
        <w:rPr>
          <w:rFonts w:cs="Arial"/>
        </w:rPr>
        <w:t xml:space="preserve">progress with reducing procurement related </w:t>
      </w:r>
      <w:proofErr w:type="gramStart"/>
      <w:r w:rsidRPr="00B37CE8">
        <w:rPr>
          <w:rFonts w:cs="Arial"/>
        </w:rPr>
        <w:t>emissions</w:t>
      </w:r>
      <w:proofErr w:type="gramEnd"/>
      <w:r w:rsidRPr="00B37CE8">
        <w:rPr>
          <w:rFonts w:cs="Arial"/>
        </w:rPr>
        <w:t xml:space="preserve"> </w:t>
      </w:r>
    </w:p>
    <w:p w14:paraId="6E1DAB3C" w14:textId="4369A7CA" w:rsidR="00BB20C3" w:rsidRPr="001E323C" w:rsidRDefault="00BB20C3" w:rsidP="00BB20C3">
      <w:pPr>
        <w:pStyle w:val="ListParagraph"/>
        <w:numPr>
          <w:ilvl w:val="0"/>
          <w:numId w:val="7"/>
        </w:numPr>
        <w:spacing w:after="120" w:line="259" w:lineRule="auto"/>
        <w:contextualSpacing w:val="0"/>
        <w:rPr>
          <w:rFonts w:cs="Arial"/>
        </w:rPr>
      </w:pPr>
      <w:r w:rsidRPr="001E323C">
        <w:rPr>
          <w:rFonts w:cs="Arial"/>
        </w:rPr>
        <w:t xml:space="preserve">Engage with suppliers to seek reductions in emissions in the supply </w:t>
      </w:r>
      <w:proofErr w:type="gramStart"/>
      <w:r w:rsidRPr="001E323C">
        <w:rPr>
          <w:rFonts w:cs="Arial"/>
        </w:rPr>
        <w:t>chain</w:t>
      </w:r>
      <w:proofErr w:type="gramEnd"/>
      <w:r w:rsidRPr="001E323C">
        <w:rPr>
          <w:rFonts w:cs="Arial"/>
        </w:rPr>
        <w:t xml:space="preserve"> </w:t>
      </w:r>
    </w:p>
    <w:p w14:paraId="033EFCEF" w14:textId="739CF0BB" w:rsidR="00BB20C3" w:rsidRPr="00B37CE8" w:rsidRDefault="00BB20C3" w:rsidP="00BB20C3">
      <w:pPr>
        <w:pStyle w:val="ListParagraph"/>
        <w:numPr>
          <w:ilvl w:val="0"/>
          <w:numId w:val="7"/>
        </w:numPr>
        <w:spacing w:after="120" w:line="259" w:lineRule="auto"/>
        <w:contextualSpacing w:val="0"/>
        <w:rPr>
          <w:rFonts w:cs="Arial"/>
        </w:rPr>
      </w:pPr>
      <w:r w:rsidRPr="001E323C">
        <w:rPr>
          <w:rFonts w:cs="Arial"/>
        </w:rPr>
        <w:t xml:space="preserve">Support for the transition to a circular economy (this is an economic system aimed at eliminating waste and the continual use of resources) while identifying opportunities for enhancing social value (e.g. skills and training, employment opportunities for disadvantaged groups and others). </w:t>
      </w:r>
      <w:r>
        <w:rPr>
          <w:rFonts w:cs="Arial"/>
        </w:rPr>
        <w:t>This particularly key to</w:t>
      </w:r>
      <w:r w:rsidRPr="001E323C">
        <w:rPr>
          <w:rFonts w:cs="Arial"/>
        </w:rPr>
        <w:t xml:space="preserve"> reducing single use plastic</w:t>
      </w:r>
      <w:r>
        <w:rPr>
          <w:rFonts w:cs="Arial"/>
        </w:rPr>
        <w:t>s</w:t>
      </w:r>
      <w:r w:rsidRPr="001E323C">
        <w:rPr>
          <w:rFonts w:cs="Arial"/>
        </w:rPr>
        <w:t>.</w:t>
      </w:r>
    </w:p>
    <w:p w14:paraId="227A121A" w14:textId="4CE8A9BC" w:rsidR="00BB20C3" w:rsidRPr="001E323C" w:rsidRDefault="005F354C" w:rsidP="00BB20C3">
      <w:pPr>
        <w:pStyle w:val="ListParagraph"/>
        <w:numPr>
          <w:ilvl w:val="0"/>
          <w:numId w:val="7"/>
        </w:numPr>
        <w:spacing w:after="120" w:line="259" w:lineRule="auto"/>
        <w:contextualSpacing w:val="0"/>
        <w:rPr>
          <w:rFonts w:cs="Arial"/>
        </w:rPr>
      </w:pPr>
      <w:r>
        <w:rPr>
          <w:rFonts w:cs="Arial"/>
        </w:rPr>
        <w:t>Procurement processes including a weighting for</w:t>
      </w:r>
      <w:r w:rsidR="00BB20C3" w:rsidRPr="001E323C">
        <w:rPr>
          <w:rFonts w:cs="Arial"/>
        </w:rPr>
        <w:t xml:space="preserve"> local suppliers to support a low carbon procurement system. This also helps to ensure resilience of supply which is an important consideration especially when dealing with pressures </w:t>
      </w:r>
      <w:proofErr w:type="gramStart"/>
      <w:r w:rsidR="00BB20C3" w:rsidRPr="001E323C">
        <w:rPr>
          <w:rFonts w:cs="Arial"/>
        </w:rPr>
        <w:t>similar to</w:t>
      </w:r>
      <w:proofErr w:type="gramEnd"/>
      <w:r w:rsidR="00BB20C3" w:rsidRPr="001E323C">
        <w:rPr>
          <w:rFonts w:cs="Arial"/>
        </w:rPr>
        <w:t xml:space="preserve"> the recent Covid-19 pandemic.</w:t>
      </w:r>
    </w:p>
    <w:p w14:paraId="2FA6D902" w14:textId="56B44316" w:rsidR="00C932E7" w:rsidRDefault="00C932E7" w:rsidP="006616E9"/>
    <w:p w14:paraId="6FA72527" w14:textId="19AD6A43" w:rsidR="001C1124" w:rsidRPr="000F1895" w:rsidRDefault="001C1124" w:rsidP="001C1124">
      <w:pPr>
        <w:pStyle w:val="Subtitle"/>
      </w:pPr>
      <w:r>
        <w:t>2.2.</w:t>
      </w:r>
      <w:r w:rsidR="0028740A">
        <w:t>4</w:t>
      </w:r>
      <w:r>
        <w:t xml:space="preserve"> Medicines</w:t>
      </w:r>
    </w:p>
    <w:p w14:paraId="59A622F4" w14:textId="3A90EEA6" w:rsidR="0074577E" w:rsidRPr="00DB024C" w:rsidRDefault="0074577E" w:rsidP="00DB024C">
      <w:r w:rsidRPr="00DB024C">
        <w:t xml:space="preserve">Medicines make up 20% of our carbon footprint and 40% of our total procurement emissions. Many inhalers for asthma use propellants that have a high impact. Anaesthetics also have a significant greenhouse gas impact many times higher than carbon dioxide. </w:t>
      </w:r>
    </w:p>
    <w:p w14:paraId="5EB4DE86" w14:textId="582B1543" w:rsidR="00C932E7" w:rsidRDefault="003E3749" w:rsidP="006616E9">
      <w:r>
        <w:rPr>
          <w:noProof/>
        </w:rPr>
        <w:drawing>
          <wp:inline distT="0" distB="0" distL="0" distR="0" wp14:anchorId="0CB3E73E" wp14:editId="0B51A52B">
            <wp:extent cx="6190615" cy="2895600"/>
            <wp:effectExtent l="0" t="0" r="635" b="0"/>
            <wp:docPr id="23" name="Chart 23" descr="Stacked line graph demonstrating the carbon trajectory for each financial year from 2023-2030 for interventions related to medicines: inhaler switching, anaesthetic gas capture, decommissioning desflurane, supplier carbon reduction plans and unfunded further action. ">
              <a:extLst xmlns:a="http://schemas.openxmlformats.org/drawingml/2006/main">
                <a:ext uri="{FF2B5EF4-FFF2-40B4-BE49-F238E27FC236}">
                  <a16:creationId xmlns:a16="http://schemas.microsoft.com/office/drawing/2014/main" id="{7BFBB414-874F-4CD6-A28D-A8990B61B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A7439C" w14:textId="01DFDF28" w:rsidR="00C1318C" w:rsidRDefault="00C1318C" w:rsidP="006616E9"/>
    <w:tbl>
      <w:tblPr>
        <w:tblStyle w:val="TableGrid"/>
        <w:tblW w:w="0" w:type="auto"/>
        <w:tblLook w:val="04A0" w:firstRow="1" w:lastRow="0" w:firstColumn="1" w:lastColumn="0" w:noHBand="0" w:noVBand="1"/>
      </w:tblPr>
      <w:tblGrid>
        <w:gridCol w:w="2689"/>
        <w:gridCol w:w="6520"/>
        <w:gridCol w:w="530"/>
      </w:tblGrid>
      <w:tr w:rsidR="004077B4" w14:paraId="5ABECD26" w14:textId="60DFBBBB" w:rsidTr="004077B4">
        <w:trPr>
          <w:cantSplit/>
          <w:trHeight w:val="1134"/>
        </w:trPr>
        <w:tc>
          <w:tcPr>
            <w:tcW w:w="2689" w:type="dxa"/>
          </w:tcPr>
          <w:p w14:paraId="0468ACF4" w14:textId="77777777" w:rsidR="004077B4" w:rsidRDefault="004077B4" w:rsidP="00D41CE3">
            <w:r>
              <w:lastRenderedPageBreak/>
              <w:t>Target</w:t>
            </w:r>
          </w:p>
        </w:tc>
        <w:tc>
          <w:tcPr>
            <w:tcW w:w="6520" w:type="dxa"/>
          </w:tcPr>
          <w:p w14:paraId="3EBFAF8F" w14:textId="77777777" w:rsidR="004077B4" w:rsidRDefault="004077B4" w:rsidP="00D41CE3">
            <w:r>
              <w:t>Progress</w:t>
            </w:r>
          </w:p>
        </w:tc>
        <w:tc>
          <w:tcPr>
            <w:tcW w:w="530" w:type="dxa"/>
            <w:textDirection w:val="btLr"/>
          </w:tcPr>
          <w:p w14:paraId="0231D5BF" w14:textId="20FBAA0B" w:rsidR="004077B4" w:rsidRDefault="004077B4" w:rsidP="004077B4">
            <w:pPr>
              <w:spacing w:after="0"/>
              <w:ind w:left="113" w:right="113"/>
            </w:pPr>
            <w:r>
              <w:t>RAG</w:t>
            </w:r>
          </w:p>
        </w:tc>
      </w:tr>
      <w:tr w:rsidR="004077B4" w14:paraId="3C6BE9DD" w14:textId="329C2F54" w:rsidTr="00A4311A">
        <w:tc>
          <w:tcPr>
            <w:tcW w:w="2689" w:type="dxa"/>
          </w:tcPr>
          <w:p w14:paraId="45DC2F60" w14:textId="1887E14F" w:rsidR="004077B4" w:rsidRDefault="004077B4" w:rsidP="004077B4">
            <w:r>
              <w:t xml:space="preserve">Inhaler switching - </w:t>
            </w:r>
            <w:r w:rsidRPr="002E0C88">
              <w:t xml:space="preserve">Achieve SABA MDI use to be 75% low carbon, Preventer use to be 70% lower carbon and 30% v high </w:t>
            </w:r>
            <w:proofErr w:type="gramStart"/>
            <w:r w:rsidRPr="002E0C88">
              <w:t>carbon</w:t>
            </w:r>
            <w:proofErr w:type="gramEnd"/>
            <w:r w:rsidRPr="002E0C88">
              <w:t xml:space="preserve"> as per NHSBSA respiratory carbon dashboard by 2025.</w:t>
            </w:r>
          </w:p>
        </w:tc>
        <w:tc>
          <w:tcPr>
            <w:tcW w:w="6520" w:type="dxa"/>
          </w:tcPr>
          <w:p w14:paraId="40853506" w14:textId="77777777" w:rsidR="004077B4" w:rsidRPr="004B06BF" w:rsidRDefault="004077B4" w:rsidP="004B06BF">
            <w:pPr>
              <w:pStyle w:val="ListParagraph"/>
              <w:numPr>
                <w:ilvl w:val="0"/>
                <w:numId w:val="22"/>
              </w:numPr>
              <w:rPr>
                <w:rFonts w:ascii="Aptos" w:eastAsia="Times New Roman" w:hAnsi="Aptos"/>
                <w:color w:val="000000"/>
                <w:szCs w:val="24"/>
              </w:rPr>
            </w:pPr>
            <w:r w:rsidRPr="004B06BF">
              <w:rPr>
                <w:rFonts w:eastAsia="Times New Roman" w:cs="Arial"/>
                <w:color w:val="000000"/>
                <w:szCs w:val="24"/>
              </w:rPr>
              <w:t>60% of Primary Care carbon footprint consists of the medicines they prescribe including meter dose inhalers.</w:t>
            </w:r>
            <w:r>
              <w:t xml:space="preserve"> Initiatives in some GP surgeries</w:t>
            </w:r>
            <w:r w:rsidRPr="004B06BF">
              <w:rPr>
                <w:rFonts w:eastAsia="Times New Roman" w:cs="Arial"/>
                <w:color w:val="000000"/>
                <w:szCs w:val="24"/>
              </w:rPr>
              <w:t xml:space="preserve"> to improve asthma control and optimise inhaler prescribing are helping reduce the climate impact of their medicines’ footprint.</w:t>
            </w:r>
            <w:r w:rsidRPr="004B06BF">
              <w:rPr>
                <w:rFonts w:ascii="Aptos" w:eastAsia="Times New Roman" w:hAnsi="Aptos"/>
                <w:color w:val="000000"/>
                <w:szCs w:val="24"/>
              </w:rPr>
              <w:t xml:space="preserve"> </w:t>
            </w:r>
          </w:p>
          <w:p w14:paraId="0F51490B" w14:textId="321E65F8" w:rsidR="004077B4" w:rsidRDefault="004077B4" w:rsidP="00D41CE3">
            <w:pPr>
              <w:pStyle w:val="ListParagraph"/>
              <w:numPr>
                <w:ilvl w:val="0"/>
                <w:numId w:val="19"/>
              </w:numPr>
            </w:pPr>
            <w:r>
              <w:t>No central</w:t>
            </w:r>
            <w:r w:rsidRPr="009150D4">
              <w:t xml:space="preserve"> funded respiratory project for coordination in 24/25. Awaiting NICE guidance</w:t>
            </w:r>
            <w:r>
              <w:t xml:space="preserve"> that will support switching</w:t>
            </w:r>
          </w:p>
        </w:tc>
        <w:tc>
          <w:tcPr>
            <w:tcW w:w="530" w:type="dxa"/>
            <w:shd w:val="clear" w:color="auto" w:fill="FFC000"/>
          </w:tcPr>
          <w:p w14:paraId="2CD07DF6" w14:textId="77777777" w:rsidR="004077B4" w:rsidRPr="004B06BF" w:rsidRDefault="004077B4" w:rsidP="004077B4">
            <w:pPr>
              <w:pStyle w:val="ListParagraph"/>
              <w:rPr>
                <w:rFonts w:eastAsia="Times New Roman" w:cs="Arial"/>
                <w:color w:val="000000"/>
                <w:szCs w:val="24"/>
              </w:rPr>
            </w:pPr>
          </w:p>
        </w:tc>
      </w:tr>
      <w:tr w:rsidR="004077B4" w14:paraId="4921BAC9" w14:textId="376955C7" w:rsidTr="00A4311A">
        <w:tc>
          <w:tcPr>
            <w:tcW w:w="2689" w:type="dxa"/>
          </w:tcPr>
          <w:p w14:paraId="12F785F9" w14:textId="7FEA3677" w:rsidR="004077B4" w:rsidRDefault="004077B4" w:rsidP="00D41CE3">
            <w:r>
              <w:t>S</w:t>
            </w:r>
            <w:r w:rsidRPr="003F1BCB">
              <w:t xml:space="preserve">uppliers carbon reductions plans </w:t>
            </w:r>
            <w:r w:rsidRPr="00B802D9">
              <w:t>100% of new medicines contracts have supplier carbon reduction plan as tendered and awarded from April 2024</w:t>
            </w:r>
          </w:p>
        </w:tc>
        <w:tc>
          <w:tcPr>
            <w:tcW w:w="6520" w:type="dxa"/>
          </w:tcPr>
          <w:p w14:paraId="3228C139" w14:textId="77777777" w:rsidR="00AF1CF3" w:rsidRDefault="00AF1CF3" w:rsidP="00AF1CF3">
            <w:pPr>
              <w:pStyle w:val="ListParagraph"/>
              <w:numPr>
                <w:ilvl w:val="0"/>
                <w:numId w:val="19"/>
              </w:numPr>
            </w:pPr>
            <w:r w:rsidRPr="00D20625">
              <w:t xml:space="preserve">Pharmaceuticals excluded </w:t>
            </w:r>
            <w:r>
              <w:t>from social value</w:t>
            </w:r>
            <w:r w:rsidRPr="00D20625">
              <w:t xml:space="preserve"> requirements by NHSE. However</w:t>
            </w:r>
            <w:r>
              <w:t xml:space="preserve">, they are required to provide a carbon reduction plan and complete an Evergreen assessment every </w:t>
            </w:r>
            <w:proofErr w:type="gramStart"/>
            <w:r>
              <w:t>year</w:t>
            </w:r>
            <w:proofErr w:type="gramEnd"/>
          </w:p>
          <w:p w14:paraId="3CDB6E42" w14:textId="5E286915" w:rsidR="004077B4" w:rsidRPr="00937948" w:rsidRDefault="004077B4" w:rsidP="00D41CE3">
            <w:pPr>
              <w:pStyle w:val="ListParagraph"/>
              <w:numPr>
                <w:ilvl w:val="0"/>
                <w:numId w:val="19"/>
              </w:numPr>
            </w:pPr>
            <w:r w:rsidRPr="00C519C7">
              <w:t xml:space="preserve">Medicines optimisation </w:t>
            </w:r>
            <w:r>
              <w:t>- some</w:t>
            </w:r>
            <w:r w:rsidRPr="00C519C7">
              <w:t xml:space="preserve"> initiatives in reducing wastage of medicines and avoiding patients taking unnecessary medicines reducing the impact of medicines on the environment.</w:t>
            </w:r>
          </w:p>
        </w:tc>
        <w:tc>
          <w:tcPr>
            <w:tcW w:w="530" w:type="dxa"/>
            <w:shd w:val="clear" w:color="auto" w:fill="FFC000"/>
          </w:tcPr>
          <w:p w14:paraId="5F0C966C" w14:textId="77777777" w:rsidR="004077B4" w:rsidRPr="00D20625" w:rsidRDefault="004077B4" w:rsidP="004077B4">
            <w:pPr>
              <w:pStyle w:val="ListParagraph"/>
            </w:pPr>
          </w:p>
        </w:tc>
      </w:tr>
      <w:tr w:rsidR="004077B4" w14:paraId="4E9C9FE9" w14:textId="03AB666A" w:rsidTr="00234C09">
        <w:tc>
          <w:tcPr>
            <w:tcW w:w="2689" w:type="dxa"/>
          </w:tcPr>
          <w:p w14:paraId="2E077E92" w14:textId="522501A9" w:rsidR="004077B4" w:rsidRDefault="004077B4" w:rsidP="00D41CE3">
            <w:r w:rsidRPr="007C62CB">
              <w:t xml:space="preserve">Reduce carbon footprint from anaesthetic gases as far as possible </w:t>
            </w:r>
            <w:proofErr w:type="gramStart"/>
            <w:r w:rsidRPr="007C62CB">
              <w:t>in order to</w:t>
            </w:r>
            <w:proofErr w:type="gramEnd"/>
            <w:r w:rsidRPr="007C62CB">
              <w:t xml:space="preserve"> reduce abatement cost to get to net zero by 2030. Decommission Desflurane by 2024 in line with NHSE mandate</w:t>
            </w:r>
          </w:p>
        </w:tc>
        <w:tc>
          <w:tcPr>
            <w:tcW w:w="6520" w:type="dxa"/>
          </w:tcPr>
          <w:p w14:paraId="15F8602F" w14:textId="1AA393EE" w:rsidR="004077B4" w:rsidRDefault="004077B4" w:rsidP="00D41CE3">
            <w:pPr>
              <w:pStyle w:val="ListParagraph"/>
              <w:numPr>
                <w:ilvl w:val="0"/>
                <w:numId w:val="21"/>
              </w:numPr>
            </w:pPr>
            <w:r w:rsidRPr="000B6BED">
              <w:t>Staff led approaches by Anaesthetists have been very successful in driving reductions and eliminating the use of the highest impact anaesthetic gases.</w:t>
            </w:r>
          </w:p>
          <w:p w14:paraId="180D2A76" w14:textId="2E4B3336" w:rsidR="004077B4" w:rsidRDefault="004077B4" w:rsidP="00D41CE3">
            <w:pPr>
              <w:pStyle w:val="ListParagraph"/>
              <w:numPr>
                <w:ilvl w:val="0"/>
                <w:numId w:val="21"/>
              </w:numPr>
            </w:pPr>
            <w:r>
              <w:t xml:space="preserve">Nitrous oxide destruction unit requirements have been identified. </w:t>
            </w:r>
            <w:r w:rsidRPr="009078FE">
              <w:t>H</w:t>
            </w:r>
            <w:r>
              <w:t>owever, very h</w:t>
            </w:r>
            <w:r w:rsidRPr="009078FE">
              <w:t xml:space="preserve">igh costs exceed benefits </w:t>
            </w:r>
            <w:r>
              <w:t xml:space="preserve">so need to </w:t>
            </w:r>
            <w:r w:rsidRPr="009078FE">
              <w:t xml:space="preserve">consider alternative </w:t>
            </w:r>
            <w:proofErr w:type="gramStart"/>
            <w:r w:rsidRPr="009078FE">
              <w:t>approaches</w:t>
            </w:r>
            <w:proofErr w:type="gramEnd"/>
          </w:p>
          <w:p w14:paraId="7FDDD584" w14:textId="77777777" w:rsidR="004077B4" w:rsidRDefault="004077B4" w:rsidP="00D41CE3">
            <w:pPr>
              <w:pStyle w:val="ListParagraph"/>
              <w:numPr>
                <w:ilvl w:val="0"/>
                <w:numId w:val="21"/>
              </w:numPr>
            </w:pPr>
            <w:r>
              <w:t>Ceased use of Desflurane</w:t>
            </w:r>
          </w:p>
          <w:p w14:paraId="67D417A9" w14:textId="05420D89" w:rsidR="004077B4" w:rsidRPr="00937948" w:rsidRDefault="004077B4" w:rsidP="00D41CE3">
            <w:pPr>
              <w:pStyle w:val="ListParagraph"/>
              <w:numPr>
                <w:ilvl w:val="0"/>
                <w:numId w:val="21"/>
              </w:numPr>
            </w:pPr>
            <w:r>
              <w:t>Manifolds being decommissioned where possible</w:t>
            </w:r>
          </w:p>
        </w:tc>
        <w:tc>
          <w:tcPr>
            <w:tcW w:w="530" w:type="dxa"/>
            <w:shd w:val="clear" w:color="auto" w:fill="FFC000"/>
          </w:tcPr>
          <w:p w14:paraId="618492B6" w14:textId="77777777" w:rsidR="004077B4" w:rsidRPr="000B6BED" w:rsidRDefault="004077B4" w:rsidP="004077B4">
            <w:pPr>
              <w:pStyle w:val="ListParagraph"/>
            </w:pPr>
          </w:p>
        </w:tc>
      </w:tr>
    </w:tbl>
    <w:p w14:paraId="1EC24A75" w14:textId="77777777" w:rsidR="00C1318C" w:rsidRDefault="00C1318C" w:rsidP="006616E9"/>
    <w:p w14:paraId="65C51121" w14:textId="77777777" w:rsidR="003131A2" w:rsidRPr="00BD1BA5" w:rsidRDefault="003131A2" w:rsidP="003131A2">
      <w:pPr>
        <w:pStyle w:val="NormalWeb"/>
        <w:spacing w:before="0" w:beforeAutospacing="0" w:after="0" w:afterAutospacing="0"/>
        <w:rPr>
          <w:rFonts w:ascii="Arial" w:hAnsi="Arial" w:cs="Arial"/>
          <w:b/>
          <w:bCs/>
          <w:color w:val="002060"/>
          <w:sz w:val="22"/>
          <w:szCs w:val="22"/>
        </w:rPr>
      </w:pPr>
      <w:r w:rsidRPr="00BD1BA5">
        <w:rPr>
          <w:rFonts w:ascii="Arial" w:hAnsi="Arial" w:cs="Arial"/>
          <w:b/>
          <w:bCs/>
          <w:color w:val="002060"/>
          <w:shd w:val="clear" w:color="auto" w:fill="FFFFFF"/>
        </w:rPr>
        <w:t>Future focus</w:t>
      </w:r>
    </w:p>
    <w:p w14:paraId="1C226CB2" w14:textId="77777777" w:rsidR="00822F18" w:rsidRDefault="00822F18" w:rsidP="00822F18">
      <w:pPr>
        <w:rPr>
          <w:rFonts w:cs="Arial"/>
          <w:szCs w:val="24"/>
        </w:rPr>
      </w:pPr>
      <w:r w:rsidRPr="009F3FC8">
        <w:rPr>
          <w:rFonts w:cs="Arial"/>
          <w:szCs w:val="24"/>
        </w:rPr>
        <w:t xml:space="preserve">Reduce the environmental impact of medicines and medical devices on towards net zero by: </w:t>
      </w:r>
    </w:p>
    <w:p w14:paraId="6FB0AC52" w14:textId="2DA1BF6D" w:rsidR="00822F18" w:rsidRPr="00DB024C" w:rsidRDefault="00822F18" w:rsidP="00382858">
      <w:pPr>
        <w:pStyle w:val="ListParagraph"/>
        <w:numPr>
          <w:ilvl w:val="0"/>
          <w:numId w:val="12"/>
        </w:numPr>
        <w:rPr>
          <w:rFonts w:cs="Arial"/>
          <w:szCs w:val="24"/>
        </w:rPr>
      </w:pPr>
      <w:r w:rsidRPr="00DB024C">
        <w:rPr>
          <w:rFonts w:cs="Arial"/>
          <w:szCs w:val="24"/>
        </w:rPr>
        <w:t xml:space="preserve">Ensuring delivery of decarbonising anaesthetic gases </w:t>
      </w:r>
    </w:p>
    <w:p w14:paraId="67CFC6D0" w14:textId="6D822F39" w:rsidR="00822F18" w:rsidRPr="00DB024C" w:rsidRDefault="00822F18" w:rsidP="00382858">
      <w:pPr>
        <w:pStyle w:val="ListParagraph"/>
        <w:numPr>
          <w:ilvl w:val="0"/>
          <w:numId w:val="12"/>
        </w:numPr>
        <w:rPr>
          <w:rFonts w:cs="Arial"/>
          <w:szCs w:val="24"/>
        </w:rPr>
      </w:pPr>
      <w:r w:rsidRPr="00DB024C">
        <w:rPr>
          <w:rFonts w:cs="Arial"/>
          <w:szCs w:val="24"/>
        </w:rPr>
        <w:t xml:space="preserve">Promoting use of lower carbon inhalers where clinically appropriate </w:t>
      </w:r>
    </w:p>
    <w:p w14:paraId="290B11AD" w14:textId="15C119C9" w:rsidR="00822F18" w:rsidRPr="00DB024C" w:rsidRDefault="00822F18" w:rsidP="00382858">
      <w:pPr>
        <w:pStyle w:val="ListParagraph"/>
        <w:numPr>
          <w:ilvl w:val="0"/>
          <w:numId w:val="12"/>
        </w:numPr>
        <w:rPr>
          <w:rFonts w:cs="Arial"/>
          <w:szCs w:val="24"/>
        </w:rPr>
      </w:pPr>
      <w:r w:rsidRPr="00DB024C">
        <w:rPr>
          <w:rFonts w:cs="Arial"/>
          <w:szCs w:val="24"/>
        </w:rPr>
        <w:t xml:space="preserve">Reduce carbon impact of overprescribing by reducing inappropriate prescribing through greater use of Structured Medication Reviews </w:t>
      </w:r>
    </w:p>
    <w:p w14:paraId="2AC0F7EF" w14:textId="77777777" w:rsidR="00382858" w:rsidRPr="00382858" w:rsidRDefault="00822F18" w:rsidP="00893C02">
      <w:pPr>
        <w:pStyle w:val="ListParagraph"/>
        <w:numPr>
          <w:ilvl w:val="0"/>
          <w:numId w:val="12"/>
        </w:numPr>
        <w:rPr>
          <w:rFonts w:cs="Arial"/>
          <w:color w:val="1C1F63" w:themeColor="text1"/>
          <w:szCs w:val="24"/>
        </w:rPr>
      </w:pPr>
      <w:r w:rsidRPr="00382858">
        <w:rPr>
          <w:rFonts w:cs="Arial"/>
          <w:szCs w:val="24"/>
        </w:rPr>
        <w:t xml:space="preserve">Driving more effective medicines waste management </w:t>
      </w:r>
    </w:p>
    <w:p w14:paraId="4918CF93" w14:textId="7AFE97DD" w:rsidR="00822F18" w:rsidRPr="00382858" w:rsidRDefault="00376ECB" w:rsidP="00893C02">
      <w:pPr>
        <w:pStyle w:val="ListParagraph"/>
        <w:numPr>
          <w:ilvl w:val="0"/>
          <w:numId w:val="12"/>
        </w:numPr>
        <w:rPr>
          <w:rFonts w:cs="Arial"/>
          <w:color w:val="1C1F63" w:themeColor="text1"/>
          <w:szCs w:val="24"/>
        </w:rPr>
      </w:pPr>
      <w:r>
        <w:rPr>
          <w:rFonts w:cs="Arial"/>
          <w:szCs w:val="24"/>
        </w:rPr>
        <w:t xml:space="preserve">Closing the </w:t>
      </w:r>
      <w:r w:rsidR="00A16FF9">
        <w:rPr>
          <w:rFonts w:cs="Arial"/>
          <w:szCs w:val="24"/>
        </w:rPr>
        <w:t xml:space="preserve">unfunded </w:t>
      </w:r>
      <w:r w:rsidR="00F6330D">
        <w:rPr>
          <w:rFonts w:cs="Arial"/>
          <w:szCs w:val="24"/>
        </w:rPr>
        <w:t xml:space="preserve">remaining gap in achieving net zero requires </w:t>
      </w:r>
      <w:r w:rsidR="00822F18" w:rsidRPr="00382858">
        <w:rPr>
          <w:rFonts w:cs="Arial"/>
          <w:szCs w:val="24"/>
        </w:rPr>
        <w:t>Identify</w:t>
      </w:r>
      <w:r w:rsidR="00382EF8">
        <w:rPr>
          <w:rFonts w:cs="Arial"/>
          <w:szCs w:val="24"/>
        </w:rPr>
        <w:t>ing a</w:t>
      </w:r>
      <w:r w:rsidR="00822F18" w:rsidRPr="00382858">
        <w:rPr>
          <w:rFonts w:cs="Arial"/>
          <w:szCs w:val="24"/>
        </w:rPr>
        <w:t xml:space="preserve"> pipeline of future opportunities for greener alternatives and reviewing highest carbon impact medicines where </w:t>
      </w:r>
      <w:proofErr w:type="gramStart"/>
      <w:r w:rsidR="00822F18" w:rsidRPr="00382858">
        <w:rPr>
          <w:rFonts w:cs="Arial"/>
          <w:szCs w:val="24"/>
        </w:rPr>
        <w:t>possible</w:t>
      </w:r>
      <w:proofErr w:type="gramEnd"/>
    </w:p>
    <w:p w14:paraId="2F56169D" w14:textId="62386A09" w:rsidR="0049263A" w:rsidRPr="00EA5A27" w:rsidRDefault="0091644C" w:rsidP="0049263A">
      <w:pPr>
        <w:pStyle w:val="Heading3"/>
        <w:numPr>
          <w:ilvl w:val="0"/>
          <w:numId w:val="13"/>
        </w:numPr>
        <w:spacing w:before="340"/>
        <w:rPr>
          <w:rFonts w:eastAsiaTheme="minorHAnsi"/>
          <w:color w:val="002060"/>
        </w:rPr>
      </w:pPr>
      <w:r>
        <w:rPr>
          <w:rFonts w:eastAsiaTheme="minorHAnsi"/>
          <w:color w:val="002060"/>
        </w:rPr>
        <w:lastRenderedPageBreak/>
        <w:t>Sustainable Healthcare</w:t>
      </w:r>
    </w:p>
    <w:p w14:paraId="1C2EF3A5" w14:textId="77777777" w:rsidR="00BE4B2F" w:rsidRPr="0049263A" w:rsidRDefault="00BE4B2F" w:rsidP="0049263A"/>
    <w:p w14:paraId="2F41B64E" w14:textId="2CF526B7" w:rsidR="006D5395" w:rsidRDefault="006D5395" w:rsidP="006D5395">
      <w:pPr>
        <w:pStyle w:val="Subtitle"/>
      </w:pPr>
      <w:r>
        <w:t xml:space="preserve">3.1 Sustainable </w:t>
      </w:r>
      <w:r w:rsidR="00EA5A27">
        <w:t>healthcare – Anchor in the community</w:t>
      </w:r>
    </w:p>
    <w:p w14:paraId="470BC326" w14:textId="669CEED6" w:rsidR="004905C5" w:rsidRDefault="009A462E" w:rsidP="00D70DAD">
      <w:pPr>
        <w:pStyle w:val="NormalWeb"/>
        <w:spacing w:before="0" w:beforeAutospacing="0" w:after="0" w:afterAutospacing="0"/>
        <w:rPr>
          <w:rFonts w:asciiTheme="minorHAnsi" w:hAnsiTheme="minorHAnsi" w:cstheme="minorHAnsi"/>
          <w:color w:val="1C1F63" w:themeColor="text1"/>
        </w:rPr>
      </w:pPr>
      <w:r w:rsidRPr="004905C5">
        <w:rPr>
          <w:rFonts w:ascii="Arial" w:hAnsi="Arial" w:cs="Arial"/>
          <w:color w:val="1C1F63" w:themeColor="text1"/>
        </w:rPr>
        <w:t xml:space="preserve">Realising the </w:t>
      </w:r>
      <w:r w:rsidR="00331C0E" w:rsidRPr="004905C5">
        <w:rPr>
          <w:rFonts w:ascii="Arial" w:hAnsi="Arial" w:cs="Arial"/>
          <w:color w:val="1C1F63" w:themeColor="text1"/>
        </w:rPr>
        <w:t xml:space="preserve">economic, </w:t>
      </w:r>
      <w:proofErr w:type="gramStart"/>
      <w:r w:rsidR="00331C0E" w:rsidRPr="004905C5">
        <w:rPr>
          <w:rFonts w:ascii="Arial" w:hAnsi="Arial" w:cs="Arial"/>
          <w:color w:val="1C1F63" w:themeColor="text1"/>
        </w:rPr>
        <w:t>social</w:t>
      </w:r>
      <w:proofErr w:type="gramEnd"/>
      <w:r w:rsidR="00331C0E" w:rsidRPr="004905C5">
        <w:rPr>
          <w:rFonts w:ascii="Arial" w:hAnsi="Arial" w:cs="Arial"/>
          <w:color w:val="1C1F63" w:themeColor="text1"/>
        </w:rPr>
        <w:t xml:space="preserve"> and environmental </w:t>
      </w:r>
      <w:r w:rsidRPr="004905C5">
        <w:rPr>
          <w:rFonts w:ascii="Arial" w:hAnsi="Arial" w:cs="Arial"/>
          <w:color w:val="1C1F63" w:themeColor="text1"/>
        </w:rPr>
        <w:t>benefits of being an anchor in the community and</w:t>
      </w:r>
      <w:r w:rsidR="00DC7ACF" w:rsidRPr="004905C5">
        <w:rPr>
          <w:rFonts w:ascii="Arial" w:hAnsi="Arial" w:cs="Arial"/>
          <w:color w:val="1C1F63" w:themeColor="text1"/>
        </w:rPr>
        <w:t xml:space="preserve"> achieving sustainable healthcare is dependent on us building </w:t>
      </w:r>
      <w:r w:rsidR="00F67AEF">
        <w:rPr>
          <w:rFonts w:ascii="Arial" w:hAnsi="Arial" w:cs="Arial"/>
          <w:color w:val="1C1F63" w:themeColor="text1"/>
        </w:rPr>
        <w:t>on</w:t>
      </w:r>
      <w:r w:rsidR="004905C5" w:rsidRPr="004905C5">
        <w:rPr>
          <w:rFonts w:ascii="Arial" w:hAnsi="Arial" w:cs="Arial"/>
          <w:color w:val="1C1F63" w:themeColor="text1"/>
        </w:rPr>
        <w:t xml:space="preserve"> </w:t>
      </w:r>
      <w:r w:rsidR="00DC7ACF" w:rsidRPr="004905C5">
        <w:rPr>
          <w:rFonts w:ascii="Arial" w:hAnsi="Arial" w:cs="Arial"/>
          <w:color w:val="1C1F63" w:themeColor="text1"/>
        </w:rPr>
        <w:t>being anchor</w:t>
      </w:r>
      <w:r w:rsidR="00F67AEF">
        <w:rPr>
          <w:rFonts w:ascii="Arial" w:hAnsi="Arial" w:cs="Arial"/>
          <w:color w:val="1C1F63" w:themeColor="text1"/>
        </w:rPr>
        <w:t xml:space="preserve"> organisations </w:t>
      </w:r>
      <w:r w:rsidR="00DC7ACF" w:rsidRPr="004905C5">
        <w:rPr>
          <w:rFonts w:ascii="Arial" w:hAnsi="Arial" w:cs="Arial"/>
          <w:color w:val="1C1F63" w:themeColor="text1"/>
        </w:rPr>
        <w:t>to becom</w:t>
      </w:r>
      <w:r w:rsidR="00F67AEF">
        <w:rPr>
          <w:rFonts w:ascii="Arial" w:hAnsi="Arial" w:cs="Arial"/>
          <w:color w:val="1C1F63" w:themeColor="text1"/>
        </w:rPr>
        <w:t>ing</w:t>
      </w:r>
      <w:r w:rsidR="00DC7ACF" w:rsidRPr="004905C5">
        <w:rPr>
          <w:rFonts w:ascii="Arial" w:hAnsi="Arial" w:cs="Arial"/>
          <w:color w:val="1C1F63" w:themeColor="text1"/>
        </w:rPr>
        <w:t xml:space="preserve"> an an</w:t>
      </w:r>
      <w:r w:rsidR="004905C5" w:rsidRPr="004905C5">
        <w:rPr>
          <w:rFonts w:ascii="Arial" w:hAnsi="Arial" w:cs="Arial"/>
          <w:color w:val="1C1F63" w:themeColor="text1"/>
        </w:rPr>
        <w:t>chor system</w:t>
      </w:r>
      <w:r w:rsidR="00D70DAD" w:rsidRPr="00D70DAD">
        <w:rPr>
          <w:rFonts w:asciiTheme="minorHAnsi" w:hAnsiTheme="minorHAnsi" w:cstheme="minorHAnsi"/>
          <w:color w:val="1C1F63" w:themeColor="text1"/>
        </w:rPr>
        <w:t xml:space="preserve">. </w:t>
      </w:r>
    </w:p>
    <w:p w14:paraId="2313A402" w14:textId="77777777" w:rsidR="004905C5" w:rsidRDefault="004905C5" w:rsidP="00D70DAD">
      <w:pPr>
        <w:pStyle w:val="NormalWeb"/>
        <w:spacing w:before="0" w:beforeAutospacing="0" w:after="0" w:afterAutospacing="0"/>
        <w:rPr>
          <w:rFonts w:asciiTheme="minorHAnsi" w:hAnsiTheme="minorHAnsi" w:cstheme="minorHAnsi"/>
          <w:color w:val="1C1F63" w:themeColor="text1"/>
        </w:rPr>
      </w:pPr>
    </w:p>
    <w:p w14:paraId="3ABF7927" w14:textId="294A510A" w:rsidR="00D70DAD" w:rsidRPr="00D70DAD" w:rsidRDefault="00D70DAD" w:rsidP="00D70DAD">
      <w:pPr>
        <w:pStyle w:val="NormalWeb"/>
        <w:spacing w:before="0" w:beforeAutospacing="0" w:after="0" w:afterAutospacing="0"/>
        <w:rPr>
          <w:rFonts w:asciiTheme="minorHAnsi" w:hAnsiTheme="minorHAnsi" w:cstheme="minorHAnsi"/>
        </w:rPr>
      </w:pPr>
      <w:r w:rsidRPr="00D70DAD">
        <w:rPr>
          <w:rFonts w:asciiTheme="minorHAnsi" w:hAnsiTheme="minorHAnsi" w:cstheme="minorHAnsi"/>
        </w:rPr>
        <w:t xml:space="preserve">A key strategic approach to our system achieving </w:t>
      </w:r>
      <w:r w:rsidR="00160364">
        <w:rPr>
          <w:rFonts w:asciiTheme="minorHAnsi" w:hAnsiTheme="minorHAnsi" w:cstheme="minorHAnsi"/>
        </w:rPr>
        <w:t>sustainable heal</w:t>
      </w:r>
      <w:r w:rsidR="00D120FD">
        <w:rPr>
          <w:rFonts w:asciiTheme="minorHAnsi" w:hAnsiTheme="minorHAnsi" w:cstheme="minorHAnsi"/>
        </w:rPr>
        <w:t xml:space="preserve">thcare and our </w:t>
      </w:r>
      <w:r w:rsidRPr="00D70DAD">
        <w:rPr>
          <w:rFonts w:asciiTheme="minorHAnsi" w:hAnsiTheme="minorHAnsi" w:cstheme="minorHAnsi"/>
        </w:rPr>
        <w:t>net zero</w:t>
      </w:r>
      <w:r w:rsidR="00D120FD">
        <w:rPr>
          <w:rFonts w:asciiTheme="minorHAnsi" w:hAnsiTheme="minorHAnsi" w:cstheme="minorHAnsi"/>
        </w:rPr>
        <w:t xml:space="preserve"> target</w:t>
      </w:r>
      <w:r w:rsidRPr="00D70DAD">
        <w:rPr>
          <w:rFonts w:asciiTheme="minorHAnsi" w:hAnsiTheme="minorHAnsi" w:cstheme="minorHAnsi"/>
        </w:rPr>
        <w:t xml:space="preserve"> is to keep people well and out of hospital. We need to bend the curve on the predicted rise in demand for high-cost and high carbon, reactive and hospital-based care and focus on prevention. That means supporting people to take care of their health and wellbeing, intervening early and keeping people healthy at home for as long as possible, focussing investment on primary and community services. Avoiding carbon intensive hospitals for issues that could have been prevented in primary care or managed better in the community. </w:t>
      </w:r>
    </w:p>
    <w:p w14:paraId="5E9794DF" w14:textId="77777777" w:rsidR="00D70DAD" w:rsidRPr="00D70DAD" w:rsidRDefault="00D70DAD" w:rsidP="00D70DAD">
      <w:pPr>
        <w:pStyle w:val="NormalWeb"/>
        <w:spacing w:before="0" w:beforeAutospacing="0" w:after="0" w:afterAutospacing="0"/>
        <w:rPr>
          <w:rFonts w:asciiTheme="minorHAnsi" w:hAnsiTheme="minorHAnsi" w:cstheme="minorHAnsi"/>
          <w:color w:val="000000"/>
        </w:rPr>
      </w:pPr>
      <w:r w:rsidRPr="00D70DAD">
        <w:rPr>
          <w:rFonts w:asciiTheme="minorHAnsi" w:hAnsiTheme="minorHAnsi" w:cstheme="minorHAnsi"/>
          <w:color w:val="000000"/>
        </w:rPr>
        <w:t> </w:t>
      </w:r>
    </w:p>
    <w:p w14:paraId="783728B1" w14:textId="0EDB924E" w:rsidR="00D70DAD" w:rsidRPr="00D70DAD" w:rsidRDefault="00D70DAD" w:rsidP="00D70DAD">
      <w:pPr>
        <w:pStyle w:val="NormalWeb"/>
        <w:spacing w:before="0" w:beforeAutospacing="0" w:after="0" w:afterAutospacing="0"/>
        <w:rPr>
          <w:rFonts w:asciiTheme="minorHAnsi" w:hAnsiTheme="minorHAnsi" w:cstheme="minorHAnsi"/>
          <w:color w:val="000000"/>
        </w:rPr>
      </w:pPr>
      <w:r w:rsidRPr="00D70DAD">
        <w:rPr>
          <w:rFonts w:asciiTheme="minorHAnsi" w:hAnsiTheme="minorHAnsi" w:cstheme="minorHAnsi"/>
          <w:color w:val="000000"/>
        </w:rPr>
        <w:t>We can't afford to build more carbon intensive hospitals as way to deal with increasing system demands, we need to do things differently</w:t>
      </w:r>
      <w:r w:rsidR="00616F2A">
        <w:rPr>
          <w:rFonts w:asciiTheme="minorHAnsi" w:hAnsiTheme="minorHAnsi" w:cstheme="minorHAnsi"/>
          <w:color w:val="000000"/>
        </w:rPr>
        <w:t xml:space="preserve"> – this includes:</w:t>
      </w:r>
    </w:p>
    <w:p w14:paraId="520AC9CE" w14:textId="77777777" w:rsidR="006E55BC" w:rsidRDefault="006E55BC" w:rsidP="003A170A">
      <w:pPr>
        <w:pStyle w:val="NormalWeb"/>
        <w:spacing w:before="0" w:beforeAutospacing="0" w:after="0" w:afterAutospacing="0"/>
        <w:contextualSpacing/>
        <w:rPr>
          <w:rFonts w:ascii="Arial" w:hAnsi="Arial" w:cs="Arial"/>
          <w:color w:val="1C1F63" w:themeColor="text1"/>
          <w:sz w:val="22"/>
          <w:szCs w:val="22"/>
        </w:rPr>
      </w:pPr>
    </w:p>
    <w:p w14:paraId="71518DD9" w14:textId="3019DDF4" w:rsidR="00501B51" w:rsidRPr="00616F2A" w:rsidRDefault="00691507" w:rsidP="00D44F68">
      <w:pPr>
        <w:pStyle w:val="NormalWeb"/>
        <w:numPr>
          <w:ilvl w:val="0"/>
          <w:numId w:val="24"/>
        </w:numPr>
        <w:spacing w:before="0" w:beforeAutospacing="0" w:after="0" w:afterAutospacing="0"/>
        <w:contextualSpacing/>
        <w:rPr>
          <w:rFonts w:asciiTheme="minorHAnsi" w:hAnsiTheme="minorHAnsi" w:cstheme="minorHAnsi"/>
        </w:rPr>
      </w:pPr>
      <w:r w:rsidRPr="00616F2A">
        <w:rPr>
          <w:rFonts w:asciiTheme="minorHAnsi" w:hAnsiTheme="minorHAnsi" w:cstheme="minorHAnsi"/>
        </w:rPr>
        <w:t xml:space="preserve">Supporting our staff </w:t>
      </w:r>
      <w:r w:rsidR="00C03756" w:rsidRPr="00616F2A">
        <w:rPr>
          <w:rFonts w:asciiTheme="minorHAnsi" w:hAnsiTheme="minorHAnsi" w:cstheme="minorHAnsi"/>
        </w:rPr>
        <w:t>and working with partners</w:t>
      </w:r>
      <w:r w:rsidR="00501B51" w:rsidRPr="00616F2A">
        <w:rPr>
          <w:rFonts w:asciiTheme="minorHAnsi" w:hAnsiTheme="minorHAnsi" w:cstheme="minorHAnsi"/>
        </w:rPr>
        <w:t xml:space="preserve"> </w:t>
      </w:r>
    </w:p>
    <w:p w14:paraId="2025BC94" w14:textId="0CA3F5C0" w:rsidR="00CE473D" w:rsidRPr="00616F2A" w:rsidRDefault="00B126A7" w:rsidP="00D44F68">
      <w:pPr>
        <w:pStyle w:val="NormalWeb"/>
        <w:numPr>
          <w:ilvl w:val="0"/>
          <w:numId w:val="24"/>
        </w:numPr>
        <w:spacing w:before="0" w:beforeAutospacing="0" w:after="0" w:afterAutospacing="0"/>
        <w:contextualSpacing/>
        <w:rPr>
          <w:rFonts w:asciiTheme="minorHAnsi" w:hAnsiTheme="minorHAnsi" w:cstheme="minorHAnsi"/>
          <w:color w:val="1C1F63" w:themeColor="text1"/>
        </w:rPr>
      </w:pPr>
      <w:r w:rsidRPr="00616F2A">
        <w:rPr>
          <w:rFonts w:asciiTheme="minorHAnsi" w:hAnsiTheme="minorHAnsi" w:cstheme="minorHAnsi"/>
          <w:color w:val="1C1F63" w:themeColor="text1"/>
        </w:rPr>
        <w:t>U</w:t>
      </w:r>
      <w:r w:rsidR="00CE473D" w:rsidRPr="00616F2A">
        <w:rPr>
          <w:rFonts w:asciiTheme="minorHAnsi" w:hAnsiTheme="minorHAnsi" w:cstheme="minorHAnsi"/>
          <w:color w:val="1C1F63" w:themeColor="text1"/>
        </w:rPr>
        <w:t>sing our buildings and spaces</w:t>
      </w:r>
    </w:p>
    <w:p w14:paraId="501E800F" w14:textId="2223607D" w:rsidR="00CE473D" w:rsidRPr="00616F2A" w:rsidRDefault="002663D1" w:rsidP="00D44F68">
      <w:pPr>
        <w:pStyle w:val="NormalWeb"/>
        <w:numPr>
          <w:ilvl w:val="0"/>
          <w:numId w:val="24"/>
        </w:numPr>
        <w:spacing w:before="0" w:beforeAutospacing="0" w:after="0" w:afterAutospacing="0"/>
        <w:contextualSpacing/>
        <w:rPr>
          <w:rFonts w:asciiTheme="minorHAnsi" w:hAnsiTheme="minorHAnsi" w:cstheme="minorHAnsi"/>
          <w:color w:val="1C1F63" w:themeColor="text1"/>
        </w:rPr>
      </w:pPr>
      <w:r w:rsidRPr="00616F2A">
        <w:rPr>
          <w:rFonts w:asciiTheme="minorHAnsi" w:hAnsiTheme="minorHAnsi" w:cstheme="minorHAnsi"/>
          <w:color w:val="1C1F63" w:themeColor="text1"/>
        </w:rPr>
        <w:t>E</w:t>
      </w:r>
      <w:r w:rsidR="00015C60" w:rsidRPr="00616F2A">
        <w:rPr>
          <w:rFonts w:asciiTheme="minorHAnsi" w:hAnsiTheme="minorHAnsi" w:cstheme="minorHAnsi"/>
          <w:color w:val="1C1F63" w:themeColor="text1"/>
        </w:rPr>
        <w:t>ngaging our staff</w:t>
      </w:r>
      <w:r w:rsidR="00A72888" w:rsidRPr="00616F2A">
        <w:rPr>
          <w:rFonts w:asciiTheme="minorHAnsi" w:hAnsiTheme="minorHAnsi" w:cstheme="minorHAnsi"/>
          <w:color w:val="1C1F63" w:themeColor="text1"/>
        </w:rPr>
        <w:t xml:space="preserve"> to lead chan</w:t>
      </w:r>
      <w:r w:rsidR="00B126A7" w:rsidRPr="00616F2A">
        <w:rPr>
          <w:rFonts w:asciiTheme="minorHAnsi" w:hAnsiTheme="minorHAnsi" w:cstheme="minorHAnsi"/>
          <w:color w:val="1C1F63" w:themeColor="text1"/>
        </w:rPr>
        <w:t>ge in our</w:t>
      </w:r>
      <w:r w:rsidR="00C0454F" w:rsidRPr="00616F2A">
        <w:rPr>
          <w:rFonts w:asciiTheme="minorHAnsi" w:hAnsiTheme="minorHAnsi" w:cstheme="minorHAnsi"/>
          <w:color w:val="1C1F63" w:themeColor="text1"/>
        </w:rPr>
        <w:t xml:space="preserve"> organisations and</w:t>
      </w:r>
      <w:r w:rsidR="00B126A7" w:rsidRPr="00616F2A">
        <w:rPr>
          <w:rFonts w:asciiTheme="minorHAnsi" w:hAnsiTheme="minorHAnsi" w:cstheme="minorHAnsi"/>
          <w:color w:val="1C1F63" w:themeColor="text1"/>
        </w:rPr>
        <w:t xml:space="preserve"> </w:t>
      </w:r>
      <w:proofErr w:type="gramStart"/>
      <w:r w:rsidR="00B126A7" w:rsidRPr="00616F2A">
        <w:rPr>
          <w:rFonts w:asciiTheme="minorHAnsi" w:hAnsiTheme="minorHAnsi" w:cstheme="minorHAnsi"/>
          <w:color w:val="1C1F63" w:themeColor="text1"/>
        </w:rPr>
        <w:t>communities</w:t>
      </w:r>
      <w:proofErr w:type="gramEnd"/>
    </w:p>
    <w:p w14:paraId="7B4B1213" w14:textId="6E24C76F" w:rsidR="00073418" w:rsidRPr="00616F2A" w:rsidRDefault="002663D1" w:rsidP="00D44F68">
      <w:pPr>
        <w:pStyle w:val="NormalWeb"/>
        <w:numPr>
          <w:ilvl w:val="0"/>
          <w:numId w:val="24"/>
        </w:numPr>
        <w:spacing w:before="0" w:beforeAutospacing="0" w:after="0" w:afterAutospacing="0"/>
        <w:contextualSpacing/>
        <w:rPr>
          <w:rFonts w:asciiTheme="minorHAnsi" w:hAnsiTheme="minorHAnsi" w:cstheme="minorHAnsi"/>
          <w:color w:val="1C1F63" w:themeColor="text1"/>
        </w:rPr>
      </w:pPr>
      <w:r w:rsidRPr="00616F2A">
        <w:rPr>
          <w:rFonts w:asciiTheme="minorHAnsi" w:hAnsiTheme="minorHAnsi" w:cstheme="minorHAnsi"/>
          <w:color w:val="1C1F63" w:themeColor="text1"/>
        </w:rPr>
        <w:t>Building r</w:t>
      </w:r>
      <w:r w:rsidR="00073418" w:rsidRPr="00616F2A">
        <w:rPr>
          <w:rFonts w:asciiTheme="minorHAnsi" w:hAnsiTheme="minorHAnsi" w:cstheme="minorHAnsi"/>
          <w:color w:val="1C1F63" w:themeColor="text1"/>
        </w:rPr>
        <w:t>esilience to climate change</w:t>
      </w:r>
    </w:p>
    <w:p w14:paraId="109AAD99" w14:textId="77777777" w:rsidR="00686E38" w:rsidRDefault="00686E38" w:rsidP="00686E38">
      <w:pPr>
        <w:pStyle w:val="NormalWeb"/>
        <w:spacing w:before="0" w:beforeAutospacing="0" w:after="0" w:afterAutospacing="0"/>
        <w:contextualSpacing/>
        <w:rPr>
          <w:rFonts w:ascii="Arial" w:hAnsi="Arial" w:cs="Arial"/>
          <w:color w:val="1C1F63" w:themeColor="text1"/>
          <w:sz w:val="22"/>
          <w:szCs w:val="22"/>
        </w:rPr>
      </w:pPr>
    </w:p>
    <w:tbl>
      <w:tblPr>
        <w:tblStyle w:val="TableGrid"/>
        <w:tblW w:w="0" w:type="auto"/>
        <w:tblLook w:val="04A0" w:firstRow="1" w:lastRow="0" w:firstColumn="1" w:lastColumn="0" w:noHBand="0" w:noVBand="1"/>
      </w:tblPr>
      <w:tblGrid>
        <w:gridCol w:w="3114"/>
        <w:gridCol w:w="6379"/>
      </w:tblGrid>
      <w:tr w:rsidR="00501402" w14:paraId="78F0857D" w14:textId="77777777" w:rsidTr="00640D64">
        <w:tc>
          <w:tcPr>
            <w:tcW w:w="3114" w:type="dxa"/>
          </w:tcPr>
          <w:p w14:paraId="71BC2245" w14:textId="77777777" w:rsidR="00501402" w:rsidRDefault="00501402" w:rsidP="00D41CE3">
            <w:r>
              <w:t>Target</w:t>
            </w:r>
          </w:p>
        </w:tc>
        <w:tc>
          <w:tcPr>
            <w:tcW w:w="6379" w:type="dxa"/>
          </w:tcPr>
          <w:p w14:paraId="597BAEDF" w14:textId="77777777" w:rsidR="00501402" w:rsidRDefault="00501402" w:rsidP="00D41CE3">
            <w:r>
              <w:t>Progress</w:t>
            </w:r>
          </w:p>
        </w:tc>
      </w:tr>
      <w:tr w:rsidR="00501402" w14:paraId="7120A547" w14:textId="77777777" w:rsidTr="00640D64">
        <w:trPr>
          <w:trHeight w:val="1740"/>
        </w:trPr>
        <w:tc>
          <w:tcPr>
            <w:tcW w:w="3114" w:type="dxa"/>
          </w:tcPr>
          <w:p w14:paraId="3E3DFC81" w14:textId="77777777" w:rsidR="00501402" w:rsidRPr="0079459E" w:rsidRDefault="00501402" w:rsidP="00D41CE3">
            <w:r w:rsidRPr="0079459E">
              <w:t xml:space="preserve">Sustainability Impact Assessment </w:t>
            </w:r>
            <w:r>
              <w:t xml:space="preserve">(SIA) </w:t>
            </w:r>
            <w:r w:rsidRPr="0079459E">
              <w:t xml:space="preserve">with carbon costing included in all business </w:t>
            </w:r>
            <w:proofErr w:type="gramStart"/>
            <w:r w:rsidRPr="0079459E">
              <w:t>cases</w:t>
            </w:r>
            <w:proofErr w:type="gramEnd"/>
          </w:p>
          <w:p w14:paraId="6B0CB082" w14:textId="77777777" w:rsidR="00501402" w:rsidRDefault="00501402" w:rsidP="00D41CE3">
            <w:r w:rsidRPr="005806CF">
              <w:t>SIA in use across the system by September 2024</w:t>
            </w:r>
          </w:p>
        </w:tc>
        <w:tc>
          <w:tcPr>
            <w:tcW w:w="6379" w:type="dxa"/>
          </w:tcPr>
          <w:p w14:paraId="4AD1D098" w14:textId="77777777" w:rsidR="00A24127" w:rsidRPr="00A24127" w:rsidRDefault="00501402" w:rsidP="00D41CE3">
            <w:pPr>
              <w:pStyle w:val="ListParagraph"/>
              <w:numPr>
                <w:ilvl w:val="0"/>
                <w:numId w:val="22"/>
              </w:numPr>
            </w:pPr>
            <w:r w:rsidRPr="00BA1881">
              <w:rPr>
                <w:rFonts w:eastAsia="Times New Roman" w:cs="Arial"/>
                <w:color w:val="000000"/>
                <w:szCs w:val="24"/>
              </w:rPr>
              <w:t xml:space="preserve">Implemented </w:t>
            </w:r>
            <w:r w:rsidR="00080E54">
              <w:rPr>
                <w:rFonts w:eastAsia="Times New Roman" w:cs="Arial"/>
                <w:color w:val="000000"/>
                <w:szCs w:val="24"/>
              </w:rPr>
              <w:t>for</w:t>
            </w:r>
            <w:r w:rsidRPr="00BA1881">
              <w:rPr>
                <w:rFonts w:eastAsia="Times New Roman" w:cs="Arial"/>
                <w:color w:val="000000"/>
                <w:szCs w:val="24"/>
              </w:rPr>
              <w:t xml:space="preserve"> NBT</w:t>
            </w:r>
            <w:r w:rsidR="00080E54">
              <w:rPr>
                <w:rFonts w:eastAsia="Times New Roman" w:cs="Arial"/>
                <w:color w:val="000000"/>
                <w:szCs w:val="24"/>
              </w:rPr>
              <w:t xml:space="preserve"> business cases</w:t>
            </w:r>
            <w:r w:rsidRPr="00BA1881">
              <w:rPr>
                <w:rFonts w:eastAsia="Times New Roman" w:cs="Arial"/>
                <w:color w:val="000000"/>
                <w:szCs w:val="24"/>
              </w:rPr>
              <w:t xml:space="preserve"> and ICB</w:t>
            </w:r>
            <w:r w:rsidR="00080E54">
              <w:rPr>
                <w:rFonts w:eastAsia="Times New Roman" w:cs="Arial"/>
                <w:color w:val="000000"/>
                <w:szCs w:val="24"/>
              </w:rPr>
              <w:t xml:space="preserve"> gateway process</w:t>
            </w:r>
            <w:r w:rsidRPr="00BA1881">
              <w:rPr>
                <w:rFonts w:eastAsia="Times New Roman" w:cs="Arial"/>
                <w:color w:val="000000"/>
                <w:szCs w:val="24"/>
              </w:rPr>
              <w:t xml:space="preserve">. </w:t>
            </w:r>
          </w:p>
          <w:p w14:paraId="60DC6EA6" w14:textId="34981E5E" w:rsidR="00501402" w:rsidRPr="00BA1881" w:rsidRDefault="00501402" w:rsidP="00D41CE3">
            <w:pPr>
              <w:pStyle w:val="ListParagraph"/>
              <w:numPr>
                <w:ilvl w:val="0"/>
                <w:numId w:val="22"/>
              </w:numPr>
            </w:pPr>
            <w:r w:rsidRPr="00BA1881">
              <w:rPr>
                <w:rFonts w:eastAsia="Times New Roman" w:cs="Arial"/>
                <w:color w:val="000000"/>
                <w:szCs w:val="24"/>
              </w:rPr>
              <w:t>Shared with</w:t>
            </w:r>
            <w:r w:rsidR="00080E54">
              <w:rPr>
                <w:rFonts w:eastAsia="Times New Roman" w:cs="Arial"/>
                <w:color w:val="000000"/>
                <w:szCs w:val="24"/>
              </w:rPr>
              <w:t xml:space="preserve"> ICS</w:t>
            </w:r>
            <w:r w:rsidRPr="00BA1881">
              <w:rPr>
                <w:rFonts w:eastAsia="Times New Roman" w:cs="Arial"/>
                <w:color w:val="000000"/>
                <w:szCs w:val="24"/>
              </w:rPr>
              <w:t xml:space="preserve"> organisations, needs organisations' Exec sponsor to support.</w:t>
            </w:r>
          </w:p>
          <w:p w14:paraId="038DC73A" w14:textId="6E3C25E4" w:rsidR="00501402" w:rsidRDefault="00501402" w:rsidP="00A24127">
            <w:pPr>
              <w:pStyle w:val="ListParagraph"/>
            </w:pPr>
          </w:p>
        </w:tc>
      </w:tr>
      <w:tr w:rsidR="00501402" w14:paraId="1185FD6E" w14:textId="77777777" w:rsidTr="00640D64">
        <w:tc>
          <w:tcPr>
            <w:tcW w:w="3114" w:type="dxa"/>
          </w:tcPr>
          <w:p w14:paraId="0C719141" w14:textId="77777777" w:rsidR="00501402" w:rsidRDefault="00501402" w:rsidP="00D41CE3">
            <w:r w:rsidRPr="00BA1881">
              <w:t>Schedule of carbon inset schemes by July 2024</w:t>
            </w:r>
          </w:p>
        </w:tc>
        <w:tc>
          <w:tcPr>
            <w:tcW w:w="6379" w:type="dxa"/>
          </w:tcPr>
          <w:p w14:paraId="7BDE12D9" w14:textId="3525FC9E" w:rsidR="00501402" w:rsidRPr="00937948" w:rsidRDefault="00501402" w:rsidP="00D41CE3">
            <w:pPr>
              <w:pStyle w:val="ListParagraph"/>
              <w:numPr>
                <w:ilvl w:val="0"/>
                <w:numId w:val="19"/>
              </w:numPr>
            </w:pPr>
            <w:r w:rsidRPr="001D5512">
              <w:t xml:space="preserve">Decarbonisation capital prioritisation has identified </w:t>
            </w:r>
            <w:r w:rsidR="00A113F1">
              <w:t xml:space="preserve">carbon saving </w:t>
            </w:r>
            <w:r w:rsidRPr="001D5512">
              <w:t xml:space="preserve">inset schemes. </w:t>
            </w:r>
            <w:proofErr w:type="spellStart"/>
            <w:r w:rsidRPr="001D5512">
              <w:t>Insetting</w:t>
            </w:r>
            <w:proofErr w:type="spellEnd"/>
            <w:r w:rsidRPr="001D5512">
              <w:t xml:space="preserve"> for other business cases not agreed.</w:t>
            </w:r>
          </w:p>
        </w:tc>
      </w:tr>
      <w:tr w:rsidR="00501402" w14:paraId="32E7EF20" w14:textId="77777777" w:rsidTr="00640D64">
        <w:tc>
          <w:tcPr>
            <w:tcW w:w="3114" w:type="dxa"/>
          </w:tcPr>
          <w:p w14:paraId="5C581C55" w14:textId="77777777" w:rsidR="00501402" w:rsidRDefault="00501402" w:rsidP="00D41CE3">
            <w:r w:rsidRPr="00676A30">
              <w:t>Biodiversity value included in sustainability impact assessment by May 2024 and in business cases July 2024</w:t>
            </w:r>
          </w:p>
        </w:tc>
        <w:tc>
          <w:tcPr>
            <w:tcW w:w="6379" w:type="dxa"/>
          </w:tcPr>
          <w:p w14:paraId="3B43CBA3" w14:textId="77777777" w:rsidR="00501402" w:rsidRPr="00937948" w:rsidRDefault="00501402" w:rsidP="00D41CE3">
            <w:pPr>
              <w:pStyle w:val="ListParagraph"/>
              <w:numPr>
                <w:ilvl w:val="0"/>
                <w:numId w:val="21"/>
              </w:numPr>
            </w:pPr>
            <w:r w:rsidRPr="00AE6B46">
              <w:t>Included in NBT business case SIA. Dependent on roll out of SIA to other organisations</w:t>
            </w:r>
          </w:p>
        </w:tc>
      </w:tr>
      <w:tr w:rsidR="00501402" w14:paraId="4DC26BD4" w14:textId="77777777" w:rsidTr="00640D64">
        <w:tc>
          <w:tcPr>
            <w:tcW w:w="3114" w:type="dxa"/>
          </w:tcPr>
          <w:p w14:paraId="06CD8056" w14:textId="77777777" w:rsidR="00501402" w:rsidRPr="00676A30" w:rsidRDefault="00501402" w:rsidP="00D41CE3">
            <w:r w:rsidRPr="00325C42">
              <w:lastRenderedPageBreak/>
              <w:t>10,000 new trees planted across our footprint by 2025</w:t>
            </w:r>
          </w:p>
        </w:tc>
        <w:tc>
          <w:tcPr>
            <w:tcW w:w="6379" w:type="dxa"/>
          </w:tcPr>
          <w:p w14:paraId="14C11153" w14:textId="77777777" w:rsidR="00501402" w:rsidRPr="00AE6B46" w:rsidRDefault="00501402" w:rsidP="00D41CE3">
            <w:pPr>
              <w:pStyle w:val="ListParagraph"/>
              <w:numPr>
                <w:ilvl w:val="0"/>
                <w:numId w:val="21"/>
              </w:numPr>
            </w:pPr>
            <w:r w:rsidRPr="00325C42">
              <w:t>Tree planting priority mapping for NHS sites. Coordinated delivery requires resource</w:t>
            </w:r>
          </w:p>
        </w:tc>
      </w:tr>
      <w:tr w:rsidR="00501402" w14:paraId="57DF5059" w14:textId="77777777" w:rsidTr="00640D64">
        <w:tc>
          <w:tcPr>
            <w:tcW w:w="3114" w:type="dxa"/>
          </w:tcPr>
          <w:p w14:paraId="36AF7337" w14:textId="77777777" w:rsidR="00501402" w:rsidRPr="00325C42" w:rsidRDefault="00501402" w:rsidP="00D41CE3">
            <w:r w:rsidRPr="001B743C">
              <w:t>Reduce anti-depressant prescriptions where appropriate by increasing Green Social Prescribing offer</w:t>
            </w:r>
          </w:p>
        </w:tc>
        <w:tc>
          <w:tcPr>
            <w:tcW w:w="6379" w:type="dxa"/>
          </w:tcPr>
          <w:p w14:paraId="03E3DE99" w14:textId="77777777" w:rsidR="00501402" w:rsidRPr="00325C42" w:rsidRDefault="00501402" w:rsidP="00D41CE3">
            <w:pPr>
              <w:pStyle w:val="ListParagraph"/>
              <w:numPr>
                <w:ilvl w:val="0"/>
                <w:numId w:val="21"/>
              </w:numPr>
            </w:pPr>
            <w:r w:rsidRPr="00A056F4">
              <w:t>Green social prescribing</w:t>
            </w:r>
            <w:r>
              <w:t xml:space="preserve"> project has </w:t>
            </w:r>
            <w:r w:rsidRPr="007567BE">
              <w:t>received £328,000 from Treasury and NHSE to extend work during 2024/25</w:t>
            </w:r>
            <w:r>
              <w:t>. Commitment to recurrent funding required.</w:t>
            </w:r>
          </w:p>
        </w:tc>
      </w:tr>
      <w:tr w:rsidR="00073418" w14:paraId="396FD9FC" w14:textId="77777777" w:rsidTr="00640D64">
        <w:tc>
          <w:tcPr>
            <w:tcW w:w="3114" w:type="dxa"/>
          </w:tcPr>
          <w:p w14:paraId="40F154F7" w14:textId="2B3F5089" w:rsidR="00073418" w:rsidRPr="001B743C" w:rsidRDefault="000E6318" w:rsidP="00D41CE3">
            <w:r>
              <w:t xml:space="preserve">Climate adaptation - </w:t>
            </w:r>
            <w:r w:rsidRPr="000E6318">
              <w:t>Risk assessment</w:t>
            </w:r>
            <w:r>
              <w:t>s</w:t>
            </w:r>
            <w:r w:rsidRPr="000E6318">
              <w:t xml:space="preserve"> show organisations are resilient to effects of climate change by March 2027</w:t>
            </w:r>
          </w:p>
        </w:tc>
        <w:tc>
          <w:tcPr>
            <w:tcW w:w="6379" w:type="dxa"/>
          </w:tcPr>
          <w:p w14:paraId="05556E29" w14:textId="543C6018" w:rsidR="00073418" w:rsidRPr="00A056F4" w:rsidRDefault="00F53822" w:rsidP="00D41CE3">
            <w:pPr>
              <w:pStyle w:val="ListParagraph"/>
              <w:numPr>
                <w:ilvl w:val="0"/>
                <w:numId w:val="21"/>
              </w:numPr>
            </w:pPr>
            <w:r>
              <w:t>Adaptation action plan and risk assessments not started</w:t>
            </w:r>
          </w:p>
        </w:tc>
      </w:tr>
    </w:tbl>
    <w:p w14:paraId="75A880C3" w14:textId="77777777" w:rsidR="00501402" w:rsidRDefault="00501402" w:rsidP="00686E38">
      <w:pPr>
        <w:pStyle w:val="NormalWeb"/>
        <w:spacing w:before="0" w:beforeAutospacing="0" w:after="0" w:afterAutospacing="0"/>
        <w:contextualSpacing/>
        <w:rPr>
          <w:rFonts w:ascii="Arial" w:hAnsi="Arial" w:cs="Arial"/>
          <w:color w:val="1C1F63" w:themeColor="text1"/>
          <w:sz w:val="22"/>
          <w:szCs w:val="22"/>
        </w:rPr>
      </w:pPr>
    </w:p>
    <w:p w14:paraId="73C4C37A" w14:textId="77777777" w:rsidR="00640D64" w:rsidRDefault="00640D64" w:rsidP="00686E38">
      <w:pPr>
        <w:pStyle w:val="NormalWeb"/>
        <w:spacing w:before="0" w:beforeAutospacing="0" w:after="0" w:afterAutospacing="0"/>
        <w:contextualSpacing/>
        <w:rPr>
          <w:rFonts w:ascii="Arial" w:hAnsi="Arial" w:cs="Arial"/>
          <w:color w:val="1C1F63" w:themeColor="text1"/>
          <w:sz w:val="22"/>
          <w:szCs w:val="22"/>
        </w:rPr>
      </w:pPr>
    </w:p>
    <w:p w14:paraId="3BBD26CE" w14:textId="049E5F89" w:rsidR="00265EAD" w:rsidRDefault="00265EAD" w:rsidP="00265EAD">
      <w:pPr>
        <w:pStyle w:val="Subtitle"/>
        <w:numPr>
          <w:ilvl w:val="1"/>
          <w:numId w:val="6"/>
        </w:numPr>
      </w:pPr>
      <w:r>
        <w:t>Supporting our Staff and Partnership working</w:t>
      </w:r>
    </w:p>
    <w:p w14:paraId="3F465926" w14:textId="77777777" w:rsidR="00640D64" w:rsidRDefault="00640D64" w:rsidP="003B7BB3">
      <w:pPr>
        <w:pStyle w:val="NormalWeb"/>
        <w:spacing w:before="0" w:beforeAutospacing="0" w:after="0" w:afterAutospacing="0"/>
        <w:contextualSpacing/>
        <w:rPr>
          <w:rFonts w:asciiTheme="minorHAnsi" w:hAnsiTheme="minorHAnsi" w:cstheme="minorHAnsi"/>
          <w:color w:val="1C1F63" w:themeColor="text1"/>
        </w:rPr>
      </w:pPr>
    </w:p>
    <w:p w14:paraId="12E20B91" w14:textId="5E8C1674" w:rsidR="003B7BB3" w:rsidRPr="00B3091A" w:rsidRDefault="003B7BB3" w:rsidP="003B7BB3">
      <w:pPr>
        <w:pStyle w:val="NormalWeb"/>
        <w:spacing w:before="0" w:beforeAutospacing="0" w:after="0" w:afterAutospacing="0"/>
        <w:contextualSpacing/>
        <w:rPr>
          <w:rFonts w:asciiTheme="minorHAnsi" w:hAnsiTheme="minorHAnsi" w:cstheme="minorHAnsi"/>
          <w:color w:val="1C1F63" w:themeColor="text1"/>
        </w:rPr>
      </w:pPr>
      <w:r w:rsidRPr="00B3091A">
        <w:rPr>
          <w:rFonts w:asciiTheme="minorHAnsi" w:hAnsiTheme="minorHAnsi" w:cstheme="minorHAnsi"/>
          <w:color w:val="1C1F63" w:themeColor="text1"/>
        </w:rPr>
        <w:t xml:space="preserve">Supporting staff to move to sustainable models of care within our services has improved patient experience and staff productivity by creating more efficient ways of working and using fewer resources to deliver outstanding care. </w:t>
      </w:r>
      <w:r w:rsidR="00CF3FBC" w:rsidRPr="00B3091A">
        <w:rPr>
          <w:rFonts w:asciiTheme="minorHAnsi" w:hAnsiTheme="minorHAnsi" w:cstheme="minorHAnsi"/>
          <w:color w:val="1C1F63" w:themeColor="text1"/>
        </w:rPr>
        <w:t xml:space="preserve">We need to embed </w:t>
      </w:r>
      <w:r w:rsidR="003773CA" w:rsidRPr="00B3091A">
        <w:rPr>
          <w:rFonts w:asciiTheme="minorHAnsi" w:hAnsiTheme="minorHAnsi" w:cstheme="minorHAnsi"/>
          <w:color w:val="1C1F63" w:themeColor="text1"/>
        </w:rPr>
        <w:t>sustainability in our ways of working by expanding use of tools such as our Sustainability Impact Assessment to su</w:t>
      </w:r>
      <w:r w:rsidR="003773CA" w:rsidRPr="00B3091A">
        <w:rPr>
          <w:rFonts w:asciiTheme="minorHAnsi" w:hAnsiTheme="minorHAnsi" w:cstheme="minorHAnsi"/>
        </w:rPr>
        <w:t xml:space="preserve">pport decision making to ensure we realise economic, </w:t>
      </w:r>
      <w:proofErr w:type="gramStart"/>
      <w:r w:rsidR="003773CA" w:rsidRPr="00B3091A">
        <w:rPr>
          <w:rFonts w:asciiTheme="minorHAnsi" w:hAnsiTheme="minorHAnsi" w:cstheme="minorHAnsi"/>
        </w:rPr>
        <w:t>social</w:t>
      </w:r>
      <w:proofErr w:type="gramEnd"/>
      <w:r w:rsidR="003773CA" w:rsidRPr="00B3091A">
        <w:rPr>
          <w:rFonts w:asciiTheme="minorHAnsi" w:hAnsiTheme="minorHAnsi" w:cstheme="minorHAnsi"/>
        </w:rPr>
        <w:t xml:space="preserve"> and environmental benefits as we improve how and where we deliver our services.</w:t>
      </w:r>
    </w:p>
    <w:p w14:paraId="5BD8F687" w14:textId="77777777" w:rsidR="003B7BB3" w:rsidRPr="00B3091A" w:rsidRDefault="003B7BB3" w:rsidP="00686E38">
      <w:pPr>
        <w:pStyle w:val="NormalWeb"/>
        <w:spacing w:before="0" w:beforeAutospacing="0" w:after="0" w:afterAutospacing="0"/>
        <w:contextualSpacing/>
        <w:rPr>
          <w:rFonts w:asciiTheme="minorHAnsi" w:hAnsiTheme="minorHAnsi" w:cstheme="minorHAnsi"/>
          <w:color w:val="1C1F63" w:themeColor="text1"/>
        </w:rPr>
      </w:pPr>
    </w:p>
    <w:p w14:paraId="302E37B6" w14:textId="7E6DF83B" w:rsidR="00686E38" w:rsidRPr="00B3091A" w:rsidRDefault="002E031E" w:rsidP="00686E38">
      <w:pPr>
        <w:pStyle w:val="NormalWeb"/>
        <w:spacing w:before="0" w:beforeAutospacing="0" w:after="0" w:afterAutospacing="0"/>
        <w:contextualSpacing/>
        <w:rPr>
          <w:rFonts w:asciiTheme="minorHAnsi" w:hAnsiTheme="minorHAnsi" w:cstheme="minorHAnsi"/>
          <w:color w:val="1C1F63" w:themeColor="text1"/>
        </w:rPr>
      </w:pPr>
      <w:r w:rsidRPr="00B3091A">
        <w:rPr>
          <w:rFonts w:asciiTheme="minorHAnsi" w:hAnsiTheme="minorHAnsi" w:cstheme="minorHAnsi"/>
          <w:color w:val="1C1F63" w:themeColor="text1"/>
        </w:rPr>
        <w:t>Supporting our staff through</w:t>
      </w:r>
      <w:r w:rsidR="00686E38" w:rsidRPr="00B3091A">
        <w:rPr>
          <w:rFonts w:asciiTheme="minorHAnsi" w:hAnsiTheme="minorHAnsi" w:cstheme="minorHAnsi"/>
          <w:color w:val="1C1F63" w:themeColor="text1"/>
        </w:rPr>
        <w:t xml:space="preserve"> NBT’s Quality Improvement programme, 10 sustainable models of care have been identified throughout 2023-24, Through the nurse’s preceptorship programme and the Patient First approach we will identify and support more sustainable models of care than ever in 2024-25. NBT’s Infection Control Team have been pivotal in driving sustainable models of care this year through their membership of the Infection Prevention Society’s Sustainability Special Interest Group.  </w:t>
      </w:r>
    </w:p>
    <w:p w14:paraId="0BE5299A" w14:textId="77777777" w:rsidR="009D01FA" w:rsidRDefault="009D01FA" w:rsidP="00AE2F1C">
      <w:pPr>
        <w:pStyle w:val="NormalWeb"/>
        <w:spacing w:before="0" w:beforeAutospacing="0" w:after="0" w:afterAutospacing="0"/>
        <w:contextualSpacing/>
        <w:rPr>
          <w:rFonts w:ascii="Arial" w:hAnsi="Arial" w:cs="Arial"/>
          <w:color w:val="1C1F63" w:themeColor="text1"/>
          <w:sz w:val="22"/>
          <w:szCs w:val="22"/>
        </w:rPr>
      </w:pPr>
    </w:p>
    <w:p w14:paraId="619B5D80" w14:textId="2CE54145" w:rsidR="00AE2F1C" w:rsidRPr="00B3091A" w:rsidRDefault="00C6210D" w:rsidP="00AE2F1C">
      <w:pPr>
        <w:pStyle w:val="NormalWeb"/>
        <w:spacing w:before="0" w:beforeAutospacing="0" w:after="0" w:afterAutospacing="0"/>
        <w:contextualSpacing/>
        <w:rPr>
          <w:rFonts w:asciiTheme="minorHAnsi" w:hAnsiTheme="minorHAnsi" w:cstheme="minorHAnsi"/>
          <w:color w:val="1C1F63" w:themeColor="text1"/>
          <w:sz w:val="22"/>
          <w:szCs w:val="22"/>
        </w:rPr>
      </w:pPr>
      <w:r w:rsidRPr="00B3091A">
        <w:rPr>
          <w:rFonts w:asciiTheme="minorHAnsi" w:hAnsiTheme="minorHAnsi" w:cstheme="minorHAnsi"/>
          <w:color w:val="1C1F63" w:themeColor="text1"/>
        </w:rPr>
        <w:t xml:space="preserve">To become a sustainable health </w:t>
      </w:r>
      <w:proofErr w:type="gramStart"/>
      <w:r w:rsidRPr="00B3091A">
        <w:rPr>
          <w:rFonts w:asciiTheme="minorHAnsi" w:hAnsiTheme="minorHAnsi" w:cstheme="minorHAnsi"/>
          <w:color w:val="1C1F63" w:themeColor="text1"/>
        </w:rPr>
        <w:t>system</w:t>
      </w:r>
      <w:proofErr w:type="gramEnd"/>
      <w:r w:rsidRPr="00B3091A">
        <w:rPr>
          <w:rFonts w:asciiTheme="minorHAnsi" w:hAnsiTheme="minorHAnsi" w:cstheme="minorHAnsi"/>
          <w:color w:val="1C1F63" w:themeColor="text1"/>
        </w:rPr>
        <w:t xml:space="preserve"> we must </w:t>
      </w:r>
      <w:r w:rsidR="00AE2F1C" w:rsidRPr="00B3091A">
        <w:rPr>
          <w:rFonts w:asciiTheme="minorHAnsi" w:hAnsiTheme="minorHAnsi" w:cstheme="minorHAnsi"/>
          <w:color w:val="1C1F63" w:themeColor="text1"/>
        </w:rPr>
        <w:t>ensur</w:t>
      </w:r>
      <w:r w:rsidR="00C42DFC" w:rsidRPr="00B3091A">
        <w:rPr>
          <w:rFonts w:asciiTheme="minorHAnsi" w:hAnsiTheme="minorHAnsi" w:cstheme="minorHAnsi"/>
          <w:color w:val="1C1F63" w:themeColor="text1"/>
        </w:rPr>
        <w:t>e</w:t>
      </w:r>
      <w:r w:rsidR="00AE2F1C" w:rsidRPr="00B3091A">
        <w:rPr>
          <w:rFonts w:asciiTheme="minorHAnsi" w:hAnsiTheme="minorHAnsi" w:cstheme="minorHAnsi"/>
          <w:color w:val="1C1F63" w:themeColor="text1"/>
        </w:rPr>
        <w:t xml:space="preserve"> prevention and healthy lifestyles promotion is the first line in all clinical guidance and by promot</w:t>
      </w:r>
      <w:r w:rsidR="00C42DFC" w:rsidRPr="00B3091A">
        <w:rPr>
          <w:rFonts w:asciiTheme="minorHAnsi" w:hAnsiTheme="minorHAnsi" w:cstheme="minorHAnsi"/>
          <w:color w:val="1C1F63" w:themeColor="text1"/>
        </w:rPr>
        <w:t xml:space="preserve">e </w:t>
      </w:r>
      <w:r w:rsidR="00476D00" w:rsidRPr="00B3091A">
        <w:rPr>
          <w:rFonts w:asciiTheme="minorHAnsi" w:hAnsiTheme="minorHAnsi" w:cstheme="minorHAnsi"/>
          <w:color w:val="1C1F63" w:themeColor="text1"/>
        </w:rPr>
        <w:t xml:space="preserve">community based approaches including </w:t>
      </w:r>
      <w:r w:rsidR="00AE2F1C" w:rsidRPr="00B3091A">
        <w:rPr>
          <w:rFonts w:asciiTheme="minorHAnsi" w:hAnsiTheme="minorHAnsi" w:cstheme="minorHAnsi"/>
          <w:color w:val="1C1F63" w:themeColor="text1"/>
        </w:rPr>
        <w:t xml:space="preserve">resources such as the 'Healthier with Nature' directory of projects to ensure we have suitable places to refer patients including, exercise programmes and community groups. The advantage of </w:t>
      </w:r>
      <w:r w:rsidR="00666B37" w:rsidRPr="00B3091A">
        <w:rPr>
          <w:rFonts w:asciiTheme="minorHAnsi" w:hAnsiTheme="minorHAnsi" w:cstheme="minorHAnsi"/>
          <w:color w:val="1C1F63" w:themeColor="text1"/>
        </w:rPr>
        <w:t>many</w:t>
      </w:r>
      <w:r w:rsidR="00AE2F1C" w:rsidRPr="00B3091A">
        <w:rPr>
          <w:rFonts w:asciiTheme="minorHAnsi" w:hAnsiTheme="minorHAnsi" w:cstheme="minorHAnsi"/>
          <w:color w:val="1C1F63" w:themeColor="text1"/>
        </w:rPr>
        <w:t xml:space="preserve"> of these VCSE resources is that they often have multiple benefits (helping mental and physical health and adding social value) This 5 min </w:t>
      </w:r>
      <w:hyperlink r:id="rId23">
        <w:r w:rsidR="00AE2F1C" w:rsidRPr="00B3091A">
          <w:rPr>
            <w:rStyle w:val="Hyperlink"/>
            <w:rFonts w:asciiTheme="minorHAnsi" w:eastAsiaTheme="minorEastAsia" w:hAnsiTheme="minorHAnsi" w:cstheme="minorHAnsi"/>
          </w:rPr>
          <w:t>video</w:t>
        </w:r>
      </w:hyperlink>
      <w:r w:rsidR="00AE2F1C" w:rsidRPr="00B3091A">
        <w:rPr>
          <w:rFonts w:asciiTheme="minorHAnsi" w:hAnsiTheme="minorHAnsi" w:cstheme="minorHAnsi"/>
          <w:color w:val="1C1F63" w:themeColor="text1"/>
        </w:rPr>
        <w:t xml:space="preserve"> from Bristol Health Partners of a VCSE group demonstrates the benefits.</w:t>
      </w:r>
    </w:p>
    <w:p w14:paraId="6DE99BF7" w14:textId="77777777"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1D3A8611" w14:textId="6AEB4D68" w:rsidR="002F3D49" w:rsidRPr="00C9283E" w:rsidRDefault="00921B66" w:rsidP="002F3D49">
      <w:pPr>
        <w:pStyle w:val="NormalWeb"/>
        <w:spacing w:before="0" w:beforeAutospacing="0" w:after="0" w:afterAutospacing="0"/>
        <w:contextualSpacing/>
        <w:rPr>
          <w:rFonts w:ascii="Arial" w:hAnsi="Arial" w:cs="Arial"/>
          <w:sz w:val="22"/>
          <w:szCs w:val="22"/>
        </w:rPr>
      </w:pPr>
      <w:r w:rsidRPr="00C9283E">
        <w:rPr>
          <w:rFonts w:ascii="Arial" w:hAnsi="Arial" w:cs="Arial"/>
          <w:sz w:val="22"/>
          <w:szCs w:val="22"/>
        </w:rPr>
        <w:t xml:space="preserve">Our primary care </w:t>
      </w:r>
      <w:r w:rsidR="00C734A1" w:rsidRPr="00C9283E">
        <w:rPr>
          <w:rFonts w:ascii="Arial" w:hAnsi="Arial" w:cs="Arial"/>
          <w:sz w:val="22"/>
          <w:szCs w:val="22"/>
        </w:rPr>
        <w:t>CATCH programme is seeking to</w:t>
      </w:r>
      <w:r w:rsidR="002F3D49" w:rsidRPr="00C9283E">
        <w:rPr>
          <w:rFonts w:ascii="Arial" w:hAnsi="Arial" w:cs="Arial"/>
          <w:sz w:val="22"/>
          <w:szCs w:val="22"/>
        </w:rPr>
        <w:t xml:space="preserve"> drive outcomes and benefits of working with and </w:t>
      </w:r>
      <w:proofErr w:type="gramStart"/>
      <w:r w:rsidR="002F3D49" w:rsidRPr="00C9283E">
        <w:rPr>
          <w:rFonts w:ascii="Arial" w:hAnsi="Arial" w:cs="Arial"/>
          <w:sz w:val="22"/>
          <w:szCs w:val="22"/>
        </w:rPr>
        <w:t>supporting  the</w:t>
      </w:r>
      <w:proofErr w:type="gramEnd"/>
      <w:r w:rsidR="002F3D49" w:rsidRPr="00C9283E">
        <w:rPr>
          <w:rFonts w:ascii="Arial" w:hAnsi="Arial" w:cs="Arial"/>
          <w:sz w:val="22"/>
          <w:szCs w:val="22"/>
        </w:rPr>
        <w:t xml:space="preserve"> VCSE sector</w:t>
      </w:r>
      <w:r w:rsidR="00C9283E">
        <w:rPr>
          <w:rFonts w:ascii="Arial" w:hAnsi="Arial" w:cs="Arial"/>
          <w:sz w:val="22"/>
          <w:szCs w:val="22"/>
        </w:rPr>
        <w:t>.</w:t>
      </w:r>
    </w:p>
    <w:p w14:paraId="34F15220" w14:textId="794C0346"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763FEE76" w14:textId="31E1499D"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19F35717" w14:textId="500EDD37"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5BE20B9E" w14:textId="77777777"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21040C8E" w14:textId="53C65577"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6272E74A" w14:textId="1A93BA61"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7ADE12A2" w14:textId="4436C41D"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59A75962" w14:textId="74267D1A" w:rsidR="00F12690" w:rsidRDefault="00640D64" w:rsidP="00AE2F1C">
      <w:pPr>
        <w:pStyle w:val="NormalWeb"/>
        <w:spacing w:before="0" w:beforeAutospacing="0" w:after="0" w:afterAutospacing="0"/>
        <w:contextualSpacing/>
        <w:rPr>
          <w:rFonts w:ascii="Arial" w:hAnsi="Arial" w:cs="Arial"/>
          <w:color w:val="1C1F63" w:themeColor="text1"/>
          <w:sz w:val="22"/>
          <w:szCs w:val="22"/>
        </w:rPr>
      </w:pPr>
      <w:r w:rsidRPr="000707A7">
        <w:rPr>
          <w:rFonts w:eastAsia="Calibri" w:cs="Arial"/>
          <w:noProof/>
          <w:sz w:val="22"/>
        </w:rPr>
        <w:lastRenderedPageBreak/>
        <mc:AlternateContent>
          <mc:Choice Requires="wps">
            <w:drawing>
              <wp:inline distT="0" distB="0" distL="0" distR="0" wp14:anchorId="5933FD49" wp14:editId="6DDC4D9B">
                <wp:extent cx="5838825" cy="4997450"/>
                <wp:effectExtent l="0" t="0" r="28575" b="31750"/>
                <wp:docPr id="14" name="Flowchart: Off-page Connector 14"/>
                <wp:cNvGraphicFramePr/>
                <a:graphic xmlns:a="http://schemas.openxmlformats.org/drawingml/2006/main">
                  <a:graphicData uri="http://schemas.microsoft.com/office/word/2010/wordprocessingShape">
                    <wps:wsp>
                      <wps:cNvSpPr/>
                      <wps:spPr>
                        <a:xfrm>
                          <a:off x="0" y="0"/>
                          <a:ext cx="5838825" cy="4997450"/>
                        </a:xfrm>
                        <a:prstGeom prst="flowChartOffpageConnector">
                          <a:avLst/>
                        </a:prstGeom>
                        <a:solidFill>
                          <a:srgbClr val="4472C4"/>
                        </a:solidFill>
                        <a:ln w="12700" cap="flat" cmpd="sng" algn="ctr">
                          <a:solidFill>
                            <a:srgbClr val="4472C4">
                              <a:shade val="15000"/>
                            </a:srgbClr>
                          </a:solidFill>
                          <a:prstDash val="solid"/>
                          <a:miter lim="800000"/>
                        </a:ln>
                        <a:effectLst/>
                      </wps:spPr>
                      <wps:txbx>
                        <w:txbxContent>
                          <w:p w14:paraId="02C5AD85" w14:textId="77777777" w:rsidR="007E2FBC" w:rsidRPr="007E2FBC" w:rsidRDefault="007E2FBC" w:rsidP="007E2FBC">
                            <w:pPr>
                              <w:spacing w:before="100" w:beforeAutospacing="1" w:after="0" w:line="240" w:lineRule="auto"/>
                              <w:jc w:val="center"/>
                              <w:rPr>
                                <w:rFonts w:eastAsia="Times New Roman" w:cs="Arial"/>
                                <w:color w:val="FFFFFF"/>
                                <w:sz w:val="22"/>
                                <w:lang w:eastAsia="en-GB"/>
                              </w:rPr>
                            </w:pPr>
                            <w:r w:rsidRPr="007E2FBC">
                              <w:rPr>
                                <w:rFonts w:eastAsia="Times New Roman" w:cs="Arial"/>
                                <w:color w:val="FFFFFF"/>
                                <w:sz w:val="22"/>
                                <w:lang w:eastAsia="en-GB"/>
                              </w:rPr>
                              <w:t xml:space="preserve">Primary care and VCSE Alliance CATCH programme </w:t>
                            </w:r>
                          </w:p>
                          <w:p w14:paraId="749E80B5" w14:textId="77777777" w:rsidR="007E2FBC" w:rsidRPr="007E2FBC" w:rsidRDefault="007E2FBC" w:rsidP="007E2FBC">
                            <w:pPr>
                              <w:spacing w:after="100" w:afterAutospacing="1" w:line="240" w:lineRule="auto"/>
                              <w:jc w:val="center"/>
                              <w:rPr>
                                <w:rFonts w:eastAsia="Times New Roman" w:cs="Arial"/>
                                <w:color w:val="FFFFFF"/>
                                <w:sz w:val="22"/>
                                <w:lang w:eastAsia="en-GB"/>
                              </w:rPr>
                            </w:pPr>
                            <w:r w:rsidRPr="007E2FBC">
                              <w:rPr>
                                <w:rFonts w:eastAsia="Times New Roman" w:cs="Arial"/>
                                <w:color w:val="FFFFFF"/>
                                <w:sz w:val="22"/>
                                <w:lang w:eastAsia="en-GB"/>
                              </w:rPr>
                              <w:t xml:space="preserve">(communities acting together for climate and health) </w:t>
                            </w:r>
                          </w:p>
                          <w:p w14:paraId="7FBCA533" w14:textId="77777777" w:rsidR="007E2FBC" w:rsidRPr="007E2FBC" w:rsidRDefault="007E2FBC" w:rsidP="007E2FBC">
                            <w:pPr>
                              <w:spacing w:before="100" w:beforeAutospacing="1" w:after="100" w:afterAutospacing="1" w:line="240" w:lineRule="auto"/>
                              <w:jc w:val="center"/>
                              <w:rPr>
                                <w:rFonts w:eastAsia="Times New Roman" w:cs="Arial"/>
                                <w:color w:val="FFFFFF"/>
                                <w:sz w:val="22"/>
                                <w:lang w:val="en-AU" w:eastAsia="en-GB"/>
                              </w:rPr>
                            </w:pPr>
                            <w:r w:rsidRPr="007E2FBC">
                              <w:rPr>
                                <w:rFonts w:eastAsia="Times New Roman" w:cs="Arial"/>
                                <w:color w:val="FFFFFF"/>
                                <w:sz w:val="22"/>
                                <w:lang w:eastAsia="en-GB"/>
                              </w:rPr>
                              <w:t xml:space="preserve">We have launched the </w:t>
                            </w:r>
                            <w:r w:rsidRPr="007E2FBC">
                              <w:rPr>
                                <w:rFonts w:eastAsia="Times New Roman" w:cs="Arial"/>
                                <w:color w:val="FFFFFF"/>
                                <w:sz w:val="22"/>
                                <w:lang w:val="en-AU" w:eastAsia="en-GB"/>
                              </w:rPr>
                              <w:t>CATCH programme who’s focus is to help communities become healthier, happier, and more connected with greater access to physical activity, green space, and nutritious food, fostering lifestyles which prevent disease, rather than causing it.  Healthier communities need less healthcare which has a high carbon footprint so the programme will also reduce the carbon footprint of communities, helping them move towards net zero.</w:t>
                            </w:r>
                          </w:p>
                          <w:p w14:paraId="031A99A1" w14:textId="77777777" w:rsidR="007E2FBC" w:rsidRPr="007E2FBC" w:rsidRDefault="007E2FBC" w:rsidP="007E2FBC">
                            <w:pPr>
                              <w:spacing w:before="100" w:beforeAutospacing="1" w:after="100" w:afterAutospacing="1" w:line="240" w:lineRule="auto"/>
                              <w:jc w:val="center"/>
                              <w:rPr>
                                <w:rFonts w:eastAsia="Times New Roman" w:cs="Arial"/>
                                <w:color w:val="FFFFFF"/>
                                <w:sz w:val="22"/>
                                <w:lang w:val="en-AU" w:eastAsia="en-GB"/>
                              </w:rPr>
                            </w:pPr>
                            <w:r w:rsidRPr="007E2FBC">
                              <w:rPr>
                                <w:rFonts w:eastAsia="Times New Roman" w:cs="Arial"/>
                                <w:color w:val="FFFFFF"/>
                                <w:sz w:val="22"/>
                                <w:lang w:val="en-AU" w:eastAsia="en-GB"/>
                              </w:rPr>
                              <w:t>The strength of this programme is the collaboration between the VCSE sector and Primary care.  General Practices are anchor institutions in their local community, with 90% of healthcare being delivered in primary care.  Most of the population will have contact with Primary care every year which makes it well placed to help develop healthier communities.  The VCSE sector is embedded in the local community and has knowledge of what is needed and wanted.  Joint working using the VCSE sector’s local knowledge and expertise and Primary Care’s health skills will help drive forward positive change exponentially.</w:t>
                            </w:r>
                          </w:p>
                          <w:p w14:paraId="2E8471F5" w14:textId="77777777" w:rsidR="007E2FBC" w:rsidRPr="007E2FBC" w:rsidRDefault="007E2FBC" w:rsidP="007E2FBC">
                            <w:pPr>
                              <w:spacing w:before="100" w:beforeAutospacing="1" w:after="100" w:afterAutospacing="1" w:line="240" w:lineRule="auto"/>
                              <w:jc w:val="center"/>
                              <w:rPr>
                                <w:rFonts w:eastAsia="Times New Roman" w:cs="Arial"/>
                                <w:color w:val="FFFFFF"/>
                                <w:sz w:val="22"/>
                                <w:lang w:val="en-AU" w:eastAsia="en-GB"/>
                              </w:rPr>
                            </w:pPr>
                            <w:r w:rsidRPr="007E2FBC">
                              <w:rPr>
                                <w:rFonts w:eastAsia="Times New Roman" w:cs="Arial"/>
                                <w:color w:val="FFFFFF"/>
                                <w:sz w:val="22"/>
                                <w:lang w:val="en-AU" w:eastAsia="en-GB"/>
                              </w:rPr>
                              <w:t>The climate crisis is a health crisis, and it will impact those with the least, the most.  The climate disparity in experiencing the impacts and disparity in available resources for mitigation and adaptation will only widen existing health inequalities.  The CATCH programme will tackle this by helping more individuals and groups who face inequalities and poverty take action to shape healthier, lower carbon communities with higher quality but lower carbon healthcare.</w:t>
                            </w:r>
                          </w:p>
                          <w:p w14:paraId="7C8CFAA7" w14:textId="77777777" w:rsidR="007E2FBC" w:rsidRDefault="007E2FBC" w:rsidP="007E2F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933FD49" id="_x0000_t177" coordsize="21600,21600" o:spt="177" path="m,l21600,r,17255l10800,21600,,17255xe">
                <v:stroke joinstyle="miter"/>
                <v:path gradientshapeok="t" o:connecttype="rect" textboxrect="0,0,21600,17255"/>
              </v:shapetype>
              <v:shape id="Flowchart: Off-page Connector 14" o:spid="_x0000_s1026" type="#_x0000_t177" style="width:459.75pt;height:3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" fillcolor="#4472c4" strokecolor="#172c51" strokeweight="1pt">
                <v:textbox>
                  <w:txbxContent>
                    <w:p w14:paraId="02C5AD85" w14:textId="77777777" w:rsidR="007E2FBC" w:rsidRPr="007E2FBC" w:rsidRDefault="007E2FBC" w:rsidP="007E2FBC">
                      <w:pPr>
                        <w:spacing w:before="100" w:beforeAutospacing="1" w:after="0" w:line="240" w:lineRule="auto"/>
                        <w:jc w:val="center"/>
                        <w:rPr>
                          <w:rFonts w:eastAsia="Times New Roman" w:cs="Arial"/>
                          <w:color w:val="FFFFFF"/>
                          <w:sz w:val="22"/>
                          <w:lang w:eastAsia="en-GB"/>
                        </w:rPr>
                      </w:pPr>
                      <w:r w:rsidRPr="007E2FBC">
                        <w:rPr>
                          <w:rFonts w:eastAsia="Times New Roman" w:cs="Arial"/>
                          <w:color w:val="FFFFFF"/>
                          <w:sz w:val="22"/>
                          <w:lang w:eastAsia="en-GB"/>
                        </w:rPr>
                        <w:t xml:space="preserve">Primary care and VCSE Alliance CATCH programme </w:t>
                      </w:r>
                    </w:p>
                    <w:p w14:paraId="749E80B5" w14:textId="77777777" w:rsidR="007E2FBC" w:rsidRPr="007E2FBC" w:rsidRDefault="007E2FBC" w:rsidP="007E2FBC">
                      <w:pPr>
                        <w:spacing w:after="100" w:afterAutospacing="1" w:line="240" w:lineRule="auto"/>
                        <w:jc w:val="center"/>
                        <w:rPr>
                          <w:rFonts w:eastAsia="Times New Roman" w:cs="Arial"/>
                          <w:color w:val="FFFFFF"/>
                          <w:sz w:val="22"/>
                          <w:lang w:eastAsia="en-GB"/>
                        </w:rPr>
                      </w:pPr>
                      <w:r w:rsidRPr="007E2FBC">
                        <w:rPr>
                          <w:rFonts w:eastAsia="Times New Roman" w:cs="Arial"/>
                          <w:color w:val="FFFFFF"/>
                          <w:sz w:val="22"/>
                          <w:lang w:eastAsia="en-GB"/>
                        </w:rPr>
                        <w:t xml:space="preserve">(communities acting together for climate and health) </w:t>
                      </w:r>
                    </w:p>
                    <w:p w14:paraId="7FBCA533" w14:textId="77777777" w:rsidR="007E2FBC" w:rsidRPr="007E2FBC" w:rsidRDefault="007E2FBC" w:rsidP="007E2FBC">
                      <w:pPr>
                        <w:spacing w:before="100" w:beforeAutospacing="1" w:after="100" w:afterAutospacing="1" w:line="240" w:lineRule="auto"/>
                        <w:jc w:val="center"/>
                        <w:rPr>
                          <w:rFonts w:eastAsia="Times New Roman" w:cs="Arial"/>
                          <w:color w:val="FFFFFF"/>
                          <w:sz w:val="22"/>
                          <w:lang w:val="en-AU" w:eastAsia="en-GB"/>
                        </w:rPr>
                      </w:pPr>
                      <w:r w:rsidRPr="007E2FBC">
                        <w:rPr>
                          <w:rFonts w:eastAsia="Times New Roman" w:cs="Arial"/>
                          <w:color w:val="FFFFFF"/>
                          <w:sz w:val="22"/>
                          <w:lang w:eastAsia="en-GB"/>
                        </w:rPr>
                        <w:t xml:space="preserve">We have launched the </w:t>
                      </w:r>
                      <w:r w:rsidRPr="007E2FBC">
                        <w:rPr>
                          <w:rFonts w:eastAsia="Times New Roman" w:cs="Arial"/>
                          <w:color w:val="FFFFFF"/>
                          <w:sz w:val="22"/>
                          <w:lang w:val="en-AU" w:eastAsia="en-GB"/>
                        </w:rPr>
                        <w:t>CATCH programme who’s focus is to help communities become healthier, happier, and more connected with greater access to physical activity, green space, and nutritious food, fostering lifestyles which prevent disease, rather than causing it.  Healthier communities need less healthcare which has a high carbon footprint so the programme will also reduce the carbon footprint of communities, helping them move towards net zero.</w:t>
                      </w:r>
                    </w:p>
                    <w:p w14:paraId="031A99A1" w14:textId="77777777" w:rsidR="007E2FBC" w:rsidRPr="007E2FBC" w:rsidRDefault="007E2FBC" w:rsidP="007E2FBC">
                      <w:pPr>
                        <w:spacing w:before="100" w:beforeAutospacing="1" w:after="100" w:afterAutospacing="1" w:line="240" w:lineRule="auto"/>
                        <w:jc w:val="center"/>
                        <w:rPr>
                          <w:rFonts w:eastAsia="Times New Roman" w:cs="Arial"/>
                          <w:color w:val="FFFFFF"/>
                          <w:sz w:val="22"/>
                          <w:lang w:val="en-AU" w:eastAsia="en-GB"/>
                        </w:rPr>
                      </w:pPr>
                      <w:r w:rsidRPr="007E2FBC">
                        <w:rPr>
                          <w:rFonts w:eastAsia="Times New Roman" w:cs="Arial"/>
                          <w:color w:val="FFFFFF"/>
                          <w:sz w:val="22"/>
                          <w:lang w:val="en-AU" w:eastAsia="en-GB"/>
                        </w:rPr>
                        <w:t>The strength of this programme is the collaboration between the VCSE sector and Primary care.  General Practices are anchor institutions in their local community, with 90% of healthcare being delivered in primary care.  Most of the population will have contact with Primary care every year which makes it well placed to help develop healthier communities.  The VCSE sector is embedded in the local community and has knowledge of what is needed and wanted.  Joint working using the VCSE sector’s local knowledge and expertise and Primary Care’s health skills will help drive forward positive change exponentially.</w:t>
                      </w:r>
                    </w:p>
                    <w:p w14:paraId="2E8471F5" w14:textId="77777777" w:rsidR="007E2FBC" w:rsidRPr="007E2FBC" w:rsidRDefault="007E2FBC" w:rsidP="007E2FBC">
                      <w:pPr>
                        <w:spacing w:before="100" w:beforeAutospacing="1" w:after="100" w:afterAutospacing="1" w:line="240" w:lineRule="auto"/>
                        <w:jc w:val="center"/>
                        <w:rPr>
                          <w:rFonts w:eastAsia="Times New Roman" w:cs="Arial"/>
                          <w:color w:val="FFFFFF"/>
                          <w:sz w:val="22"/>
                          <w:lang w:val="en-AU" w:eastAsia="en-GB"/>
                        </w:rPr>
                      </w:pPr>
                      <w:r w:rsidRPr="007E2FBC">
                        <w:rPr>
                          <w:rFonts w:eastAsia="Times New Roman" w:cs="Arial"/>
                          <w:color w:val="FFFFFF"/>
                          <w:sz w:val="22"/>
                          <w:lang w:val="en-AU" w:eastAsia="en-GB"/>
                        </w:rPr>
                        <w:t>The climate crisis is a health crisis, and it will impact those with the least, the most.  The climate disparity in experiencing the impacts and disparity in available resources for mitigation and adaptation will only widen existing health inequalities.  The CATCH programme will tackle this by helping more individuals and groups who face inequalities and poverty take action to shape healthier, lower carbon communities with higher quality but lower carbon healthcare.</w:t>
                      </w:r>
                    </w:p>
                    <w:p w14:paraId="7C8CFAA7" w14:textId="77777777" w:rsidR="007E2FBC" w:rsidRDefault="007E2FBC" w:rsidP="007E2FBC">
                      <w:pPr>
                        <w:jc w:val="center"/>
                      </w:pPr>
                    </w:p>
                  </w:txbxContent>
                </v:textbox>
                <w10:anchorlock/>
              </v:shape>
            </w:pict>
          </mc:Fallback>
        </mc:AlternateContent>
      </w:r>
    </w:p>
    <w:p w14:paraId="6531E854" w14:textId="30452A00"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22B67B76" w14:textId="0CBBB720" w:rsidR="00F12690" w:rsidRDefault="00F12690" w:rsidP="00AE2F1C">
      <w:pPr>
        <w:pStyle w:val="NormalWeb"/>
        <w:spacing w:before="0" w:beforeAutospacing="0" w:after="0" w:afterAutospacing="0"/>
        <w:contextualSpacing/>
        <w:rPr>
          <w:rFonts w:ascii="Arial" w:hAnsi="Arial" w:cs="Arial"/>
          <w:color w:val="1C1F63" w:themeColor="text1"/>
          <w:sz w:val="22"/>
          <w:szCs w:val="22"/>
        </w:rPr>
      </w:pPr>
    </w:p>
    <w:p w14:paraId="64A9BB1C" w14:textId="77777777" w:rsidR="00AE2F1C" w:rsidRDefault="00AE2F1C" w:rsidP="00AE2F1C">
      <w:pPr>
        <w:pStyle w:val="NormalWeb"/>
        <w:spacing w:before="0" w:beforeAutospacing="0" w:after="0" w:afterAutospacing="0"/>
        <w:contextualSpacing/>
        <w:rPr>
          <w:rFonts w:ascii="Arial" w:hAnsi="Arial" w:cs="Arial"/>
          <w:color w:val="1C1F63" w:themeColor="text1"/>
          <w:sz w:val="22"/>
          <w:szCs w:val="22"/>
        </w:rPr>
      </w:pPr>
    </w:p>
    <w:p w14:paraId="5661E7DD" w14:textId="4737020B" w:rsidR="00AE2F1C" w:rsidRPr="00F50710" w:rsidRDefault="00AE2F1C" w:rsidP="00AE2F1C">
      <w:pPr>
        <w:pStyle w:val="NormalWeb"/>
        <w:spacing w:before="0" w:beforeAutospacing="0" w:after="0" w:afterAutospacing="0"/>
        <w:contextualSpacing/>
        <w:rPr>
          <w:rFonts w:ascii="Arial" w:hAnsi="Arial" w:cs="Arial"/>
          <w:color w:val="1C1F63" w:themeColor="text1"/>
          <w:sz w:val="22"/>
          <w:szCs w:val="22"/>
        </w:rPr>
      </w:pPr>
    </w:p>
    <w:p w14:paraId="7DE278BF" w14:textId="77777777" w:rsidR="000A185E" w:rsidRDefault="000A185E" w:rsidP="00AE2F1C">
      <w:pPr>
        <w:pStyle w:val="Caption"/>
      </w:pPr>
    </w:p>
    <w:p w14:paraId="38754B54" w14:textId="77777777" w:rsidR="000A185E" w:rsidRDefault="000A185E" w:rsidP="00AE2F1C">
      <w:pPr>
        <w:pStyle w:val="Caption"/>
      </w:pPr>
    </w:p>
    <w:p w14:paraId="1C607CDF" w14:textId="77777777" w:rsidR="000A185E" w:rsidRDefault="000A185E" w:rsidP="00AE2F1C">
      <w:pPr>
        <w:pStyle w:val="Caption"/>
      </w:pPr>
    </w:p>
    <w:p w14:paraId="5A6E1169" w14:textId="77777777" w:rsidR="000A185E" w:rsidRDefault="000A185E" w:rsidP="00AE2F1C">
      <w:pPr>
        <w:pStyle w:val="Caption"/>
      </w:pPr>
    </w:p>
    <w:p w14:paraId="24381465" w14:textId="77777777" w:rsidR="000A185E" w:rsidRDefault="000A185E" w:rsidP="00AE2F1C">
      <w:pPr>
        <w:pStyle w:val="Caption"/>
      </w:pPr>
    </w:p>
    <w:p w14:paraId="5A636269" w14:textId="77777777" w:rsidR="000A185E" w:rsidRDefault="000A185E" w:rsidP="00AE2F1C">
      <w:pPr>
        <w:pStyle w:val="Caption"/>
      </w:pPr>
    </w:p>
    <w:p w14:paraId="29D5140C" w14:textId="77777777" w:rsidR="000A185E" w:rsidRDefault="000A185E" w:rsidP="00AE2F1C">
      <w:pPr>
        <w:pStyle w:val="Caption"/>
      </w:pPr>
    </w:p>
    <w:p w14:paraId="7DE536B4" w14:textId="77777777" w:rsidR="000A185E" w:rsidRDefault="000A185E" w:rsidP="00AE2F1C">
      <w:pPr>
        <w:pStyle w:val="Caption"/>
      </w:pPr>
    </w:p>
    <w:p w14:paraId="1ED59DEF" w14:textId="77777777" w:rsidR="00640D64" w:rsidRDefault="00640D64" w:rsidP="00640D64"/>
    <w:p w14:paraId="3E3945E7" w14:textId="77777777" w:rsidR="00640D64" w:rsidRDefault="00640D64" w:rsidP="00640D64"/>
    <w:p w14:paraId="237EDD39" w14:textId="77777777" w:rsidR="00640D64" w:rsidRDefault="00640D64" w:rsidP="00640D64"/>
    <w:p w14:paraId="04BB1CA1" w14:textId="77777777" w:rsidR="00640D64" w:rsidRDefault="00640D64" w:rsidP="00640D64"/>
    <w:p w14:paraId="2C0988F5" w14:textId="77777777" w:rsidR="00640D64" w:rsidRDefault="00640D64" w:rsidP="00640D64"/>
    <w:p w14:paraId="168E9DE3" w14:textId="77777777" w:rsidR="00640D64" w:rsidRDefault="00640D64" w:rsidP="00640D64"/>
    <w:p w14:paraId="6AF11978" w14:textId="77777777" w:rsidR="00640D64" w:rsidRPr="00640D64" w:rsidRDefault="00640D64" w:rsidP="00640D64"/>
    <w:p w14:paraId="0FF6C6B3" w14:textId="477C99EB" w:rsidR="008239A5" w:rsidRDefault="002667D6" w:rsidP="008239A5">
      <w:pPr>
        <w:spacing w:before="100" w:beforeAutospacing="1" w:after="100" w:afterAutospacing="1" w:line="240" w:lineRule="auto"/>
        <w:contextualSpacing/>
        <w:rPr>
          <w:rFonts w:cs="Arial"/>
        </w:rPr>
      </w:pPr>
      <w:r>
        <w:rPr>
          <w:rFonts w:cs="Arial"/>
        </w:rPr>
        <w:t xml:space="preserve">We know we can’t solve the complex </w:t>
      </w:r>
      <w:r w:rsidR="00036378">
        <w:rPr>
          <w:rFonts w:cs="Arial"/>
        </w:rPr>
        <w:t xml:space="preserve">systemic </w:t>
      </w:r>
      <w:r>
        <w:rPr>
          <w:rFonts w:cs="Arial"/>
        </w:rPr>
        <w:t xml:space="preserve">challenges we face on our own and </w:t>
      </w:r>
      <w:r w:rsidR="00036378">
        <w:rPr>
          <w:rFonts w:cs="Arial"/>
        </w:rPr>
        <w:t xml:space="preserve">that it is essential we work with others </w:t>
      </w:r>
      <w:r w:rsidR="00551976">
        <w:rPr>
          <w:rFonts w:cs="Arial"/>
        </w:rPr>
        <w:t xml:space="preserve">to overcome them. </w:t>
      </w:r>
      <w:r w:rsidR="008239A5" w:rsidRPr="00DD54EA">
        <w:rPr>
          <w:rFonts w:cs="Arial"/>
        </w:rPr>
        <w:t xml:space="preserve">In 2023-24, </w:t>
      </w:r>
      <w:r w:rsidR="008239A5">
        <w:rPr>
          <w:rFonts w:cs="Arial"/>
        </w:rPr>
        <w:t>we have</w:t>
      </w:r>
      <w:r w:rsidR="008239A5" w:rsidRPr="00DD54EA">
        <w:rPr>
          <w:rFonts w:cs="Arial"/>
        </w:rPr>
        <w:t xml:space="preserve"> strengthened our existing partnerships with local organisations through our membership of the West of England Nature Partnership, North Bristol Sus Com, the SDG Alliance, Bristol Green Capital Partnership, SHINE </w:t>
      </w:r>
      <w:r w:rsidR="008239A5">
        <w:rPr>
          <w:rFonts w:cs="Arial"/>
        </w:rPr>
        <w:t xml:space="preserve">HIT, </w:t>
      </w:r>
      <w:r w:rsidR="008239A5" w:rsidRPr="00DD54EA">
        <w:rPr>
          <w:rFonts w:cs="Arial"/>
        </w:rPr>
        <w:t>No Cold Homes Steering Group</w:t>
      </w:r>
      <w:r w:rsidR="008239A5">
        <w:rPr>
          <w:rFonts w:cs="Arial"/>
        </w:rPr>
        <w:t xml:space="preserve">, </w:t>
      </w:r>
      <w:r w:rsidR="008239A5" w:rsidRPr="00DD54EA">
        <w:rPr>
          <w:rFonts w:cs="Arial"/>
        </w:rPr>
        <w:t>the One City Environment Board</w:t>
      </w:r>
      <w:r w:rsidR="008239A5" w:rsidRPr="4A31AE0C">
        <w:rPr>
          <w:rFonts w:cs="Arial"/>
        </w:rPr>
        <w:t xml:space="preserve">, </w:t>
      </w:r>
      <w:r w:rsidR="008239A5">
        <w:rPr>
          <w:rFonts w:cs="Arial"/>
        </w:rPr>
        <w:t>One City Transport Board and Bristol Advisory Committee on Climate Change</w:t>
      </w:r>
      <w:r w:rsidR="008239A5" w:rsidRPr="00DD54EA">
        <w:rPr>
          <w:rFonts w:cs="Arial"/>
        </w:rPr>
        <w:t xml:space="preserve">. </w:t>
      </w:r>
      <w:r w:rsidR="008239A5">
        <w:rPr>
          <w:rFonts w:cs="Arial"/>
        </w:rPr>
        <w:t>We have</w:t>
      </w:r>
      <w:r w:rsidR="008239A5" w:rsidRPr="00DD54EA">
        <w:rPr>
          <w:rFonts w:cs="Arial"/>
        </w:rPr>
        <w:t xml:space="preserve"> continued </w:t>
      </w:r>
      <w:r w:rsidR="008239A5">
        <w:rPr>
          <w:rFonts w:cs="Arial"/>
        </w:rPr>
        <w:t>our</w:t>
      </w:r>
      <w:r w:rsidR="008239A5" w:rsidRPr="00DD54EA">
        <w:rPr>
          <w:rFonts w:cs="Arial"/>
        </w:rPr>
        <w:t xml:space="preserve"> involvement with </w:t>
      </w:r>
      <w:r w:rsidR="008239A5">
        <w:rPr>
          <w:rFonts w:cs="Arial"/>
        </w:rPr>
        <w:t xml:space="preserve">our Local Authorities including public health, </w:t>
      </w:r>
      <w:r w:rsidR="008239A5" w:rsidRPr="00DD54EA">
        <w:rPr>
          <w:rFonts w:cs="Arial"/>
        </w:rPr>
        <w:t>WECA’s</w:t>
      </w:r>
      <w:r w:rsidR="008239A5">
        <w:rPr>
          <w:rFonts w:cs="Arial"/>
        </w:rPr>
        <w:t xml:space="preserve"> Climate action panel and</w:t>
      </w:r>
      <w:r w:rsidR="008239A5" w:rsidRPr="00DD54EA">
        <w:rPr>
          <w:rFonts w:cs="Arial"/>
        </w:rPr>
        <w:t xml:space="preserve"> Future Transport Zone programme</w:t>
      </w:r>
      <w:r w:rsidR="008239A5">
        <w:rPr>
          <w:rFonts w:cs="Arial"/>
        </w:rPr>
        <w:t>.</w:t>
      </w:r>
    </w:p>
    <w:p w14:paraId="09316B5E" w14:textId="77777777" w:rsidR="008239A5" w:rsidRDefault="008239A5" w:rsidP="008239A5">
      <w:pPr>
        <w:spacing w:before="100" w:beforeAutospacing="1" w:after="100" w:afterAutospacing="1" w:line="240" w:lineRule="auto"/>
        <w:contextualSpacing/>
        <w:rPr>
          <w:rFonts w:cs="Arial"/>
        </w:rPr>
      </w:pPr>
    </w:p>
    <w:p w14:paraId="47F09A50" w14:textId="36FA577F" w:rsidR="008239A5" w:rsidRDefault="008239A5" w:rsidP="008239A5">
      <w:pPr>
        <w:spacing w:before="100" w:beforeAutospacing="1" w:after="100" w:afterAutospacing="1" w:line="240" w:lineRule="auto"/>
        <w:contextualSpacing/>
        <w:rPr>
          <w:rFonts w:cs="Arial"/>
        </w:rPr>
      </w:pPr>
      <w:r>
        <w:rPr>
          <w:rFonts w:cs="Arial"/>
        </w:rPr>
        <w:t>We have also</w:t>
      </w:r>
      <w:r w:rsidRPr="00DD54EA">
        <w:rPr>
          <w:rFonts w:cs="Arial"/>
        </w:rPr>
        <w:t xml:space="preserve"> continued to work with local organisations such as Leigh Court Farm, the Sustainable Development Trust, Forestry </w:t>
      </w:r>
      <w:proofErr w:type="gramStart"/>
      <w:r w:rsidRPr="00DD54EA">
        <w:rPr>
          <w:rFonts w:cs="Arial"/>
        </w:rPr>
        <w:t>England</w:t>
      </w:r>
      <w:proofErr w:type="gramEnd"/>
      <w:r w:rsidRPr="00DD54EA">
        <w:rPr>
          <w:rFonts w:cs="Arial"/>
        </w:rPr>
        <w:t xml:space="preserve"> and Natural England to improve staff and patient access to green space on our estate</w:t>
      </w:r>
      <w:r>
        <w:rPr>
          <w:rFonts w:cs="Arial"/>
        </w:rPr>
        <w:t>s</w:t>
      </w:r>
      <w:r w:rsidRPr="00DD54EA">
        <w:rPr>
          <w:rFonts w:cs="Arial"/>
        </w:rPr>
        <w:t xml:space="preserve">. </w:t>
      </w:r>
    </w:p>
    <w:p w14:paraId="745CCC7F" w14:textId="77777777" w:rsidR="008239A5" w:rsidRDefault="008239A5" w:rsidP="008239A5">
      <w:pPr>
        <w:spacing w:before="100" w:beforeAutospacing="1" w:after="100" w:afterAutospacing="1" w:line="240" w:lineRule="auto"/>
        <w:contextualSpacing/>
        <w:rPr>
          <w:rFonts w:cs="Arial"/>
        </w:rPr>
      </w:pPr>
    </w:p>
    <w:p w14:paraId="77FC8D8A" w14:textId="3C23541E" w:rsidR="00ED3F72" w:rsidRDefault="00ED3F72" w:rsidP="00ED3F72">
      <w:pPr>
        <w:pStyle w:val="Subtitle"/>
      </w:pPr>
      <w:r>
        <w:t>3.3 Using buildings and Spaces to Support Communities</w:t>
      </w:r>
      <w:r w:rsidR="007C1F8C">
        <w:t xml:space="preserve"> </w:t>
      </w:r>
    </w:p>
    <w:p w14:paraId="5E4A590B" w14:textId="77777777" w:rsidR="001A0401" w:rsidRDefault="00C760DB" w:rsidP="0017112E">
      <w:pPr>
        <w:spacing w:after="0" w:line="240" w:lineRule="auto"/>
        <w:textAlignment w:val="center"/>
        <w:rPr>
          <w:rFonts w:cs="Arial"/>
        </w:rPr>
      </w:pPr>
      <w:r w:rsidRPr="00DD54EA">
        <w:rPr>
          <w:rFonts w:cs="Arial"/>
        </w:rPr>
        <w:t xml:space="preserve">The large footprint of </w:t>
      </w:r>
      <w:r>
        <w:rPr>
          <w:rFonts w:cs="Arial"/>
        </w:rPr>
        <w:t>the health</w:t>
      </w:r>
      <w:r w:rsidRPr="00DD54EA">
        <w:rPr>
          <w:rFonts w:cs="Arial"/>
        </w:rPr>
        <w:t xml:space="preserve"> estate grants us responsibility to support local biodiversity and pioneer nature recovery programmes within our local areas. Through our estate we can also increase access to nature for our staff, </w:t>
      </w:r>
      <w:proofErr w:type="gramStart"/>
      <w:r w:rsidRPr="00DD54EA">
        <w:rPr>
          <w:rFonts w:cs="Arial"/>
        </w:rPr>
        <w:t>patients</w:t>
      </w:r>
      <w:proofErr w:type="gramEnd"/>
      <w:r w:rsidRPr="00DD54EA">
        <w:rPr>
          <w:rFonts w:cs="Arial"/>
        </w:rPr>
        <w:t xml:space="preserve"> and local residents. </w:t>
      </w:r>
    </w:p>
    <w:p w14:paraId="08DD9E17" w14:textId="77777777" w:rsidR="00C9283E" w:rsidRDefault="00C9283E" w:rsidP="0017112E">
      <w:pPr>
        <w:spacing w:after="0"/>
      </w:pPr>
    </w:p>
    <w:p w14:paraId="6F00EB85" w14:textId="49C44025" w:rsidR="0048255C" w:rsidRDefault="00CD560B" w:rsidP="0017112E">
      <w:pPr>
        <w:spacing w:after="0"/>
        <w:rPr>
          <w:rFonts w:cs="Arial"/>
        </w:rPr>
      </w:pPr>
      <w:r>
        <w:t>Supporting biodiversity is essential to a</w:t>
      </w:r>
      <w:r w:rsidR="00C10FFD">
        <w:t>chieving</w:t>
      </w:r>
      <w:r w:rsidR="0048255C">
        <w:t xml:space="preserve"> sustainable healthcare</w:t>
      </w:r>
      <w:r>
        <w:t>. W</w:t>
      </w:r>
      <w:r w:rsidR="00C10FFD">
        <w:t>e</w:t>
      </w:r>
      <w:r>
        <w:t xml:space="preserve"> have recognised this by adding biodiversity to our sustainability impact assessment to</w:t>
      </w:r>
      <w:r w:rsidR="0048255C">
        <w:t xml:space="preserve"> embed</w:t>
      </w:r>
      <w:r>
        <w:t xml:space="preserve"> the value of biodiversity</w:t>
      </w:r>
      <w:r w:rsidR="0048255C">
        <w:t xml:space="preserve"> in our decision making</w:t>
      </w:r>
      <w:r>
        <w:t>. This is currently in use in NBT business cases and the ICB gateway process but needs to be adopted across the system.</w:t>
      </w:r>
    </w:p>
    <w:p w14:paraId="6962C748" w14:textId="77777777" w:rsidR="001A0401" w:rsidRDefault="001A0401" w:rsidP="0017112E">
      <w:pPr>
        <w:spacing w:after="0" w:line="240" w:lineRule="auto"/>
        <w:textAlignment w:val="center"/>
        <w:rPr>
          <w:rFonts w:cs="Arial"/>
        </w:rPr>
      </w:pPr>
    </w:p>
    <w:p w14:paraId="7D6CBE32" w14:textId="77777777" w:rsidR="00482B48" w:rsidRPr="00482B48" w:rsidRDefault="00482B48" w:rsidP="0017112E">
      <w:pPr>
        <w:spacing w:after="0"/>
        <w:rPr>
          <w:rFonts w:cs="Arial"/>
          <w:b/>
          <w:bCs/>
          <w:szCs w:val="24"/>
        </w:rPr>
      </w:pPr>
      <w:r w:rsidRPr="00482B48">
        <w:rPr>
          <w:rFonts w:cs="Arial"/>
          <w:b/>
          <w:bCs/>
          <w:szCs w:val="24"/>
        </w:rPr>
        <w:t>Mental Health sites</w:t>
      </w:r>
    </w:p>
    <w:p w14:paraId="51FFA763" w14:textId="77777777" w:rsidR="00751A72" w:rsidRDefault="005A1E64" w:rsidP="0017112E">
      <w:pPr>
        <w:spacing w:after="0"/>
        <w:rPr>
          <w:rFonts w:cs="Arial"/>
          <w:szCs w:val="24"/>
        </w:rPr>
      </w:pPr>
      <w:r w:rsidRPr="007864DD">
        <w:rPr>
          <w:rFonts w:cs="Arial"/>
          <w:szCs w:val="24"/>
        </w:rPr>
        <w:t xml:space="preserve">AWP </w:t>
      </w:r>
      <w:r>
        <w:rPr>
          <w:rFonts w:cs="Arial"/>
          <w:szCs w:val="24"/>
        </w:rPr>
        <w:t>a</w:t>
      </w:r>
      <w:r w:rsidRPr="007864DD">
        <w:rPr>
          <w:rFonts w:cs="Arial"/>
          <w:szCs w:val="24"/>
        </w:rPr>
        <w:t xml:space="preserve">s a mental health Trust, </w:t>
      </w:r>
      <w:r>
        <w:rPr>
          <w:rFonts w:cs="Arial"/>
          <w:szCs w:val="24"/>
        </w:rPr>
        <w:t>have recognised the</w:t>
      </w:r>
      <w:r w:rsidRPr="007864DD">
        <w:rPr>
          <w:rFonts w:cs="Arial"/>
          <w:szCs w:val="24"/>
        </w:rPr>
        <w:t xml:space="preserve"> importan</w:t>
      </w:r>
      <w:r>
        <w:rPr>
          <w:rFonts w:cs="Arial"/>
          <w:szCs w:val="24"/>
        </w:rPr>
        <w:t>ce</w:t>
      </w:r>
      <w:r w:rsidRPr="007864DD">
        <w:rPr>
          <w:rFonts w:cs="Arial"/>
          <w:szCs w:val="24"/>
        </w:rPr>
        <w:t xml:space="preserve"> </w:t>
      </w:r>
      <w:r>
        <w:rPr>
          <w:rFonts w:cs="Arial"/>
          <w:szCs w:val="24"/>
        </w:rPr>
        <w:t>of using</w:t>
      </w:r>
      <w:r w:rsidRPr="007864DD">
        <w:rPr>
          <w:rFonts w:cs="Arial"/>
          <w:szCs w:val="24"/>
        </w:rPr>
        <w:t xml:space="preserve"> green spaces to improve physical and mental health for </w:t>
      </w:r>
      <w:r>
        <w:rPr>
          <w:rFonts w:cs="Arial"/>
          <w:szCs w:val="24"/>
        </w:rPr>
        <w:t>their</w:t>
      </w:r>
      <w:r w:rsidRPr="007864DD">
        <w:rPr>
          <w:rFonts w:cs="Arial"/>
          <w:szCs w:val="24"/>
        </w:rPr>
        <w:t xml:space="preserve"> patients and service users. </w:t>
      </w:r>
      <w:r>
        <w:rPr>
          <w:rFonts w:cs="Arial"/>
          <w:szCs w:val="24"/>
        </w:rPr>
        <w:t xml:space="preserve">They have </w:t>
      </w:r>
      <w:r w:rsidRPr="007864DD">
        <w:rPr>
          <w:rFonts w:cs="Arial"/>
          <w:szCs w:val="24"/>
        </w:rPr>
        <w:t xml:space="preserve">established green spaces at several sites including </w:t>
      </w:r>
      <w:proofErr w:type="spellStart"/>
      <w:r w:rsidRPr="007864DD">
        <w:rPr>
          <w:rFonts w:cs="Arial"/>
          <w:szCs w:val="24"/>
        </w:rPr>
        <w:t>Fromeside</w:t>
      </w:r>
      <w:proofErr w:type="spellEnd"/>
      <w:r w:rsidRPr="007864DD">
        <w:rPr>
          <w:rFonts w:cs="Arial"/>
          <w:szCs w:val="24"/>
        </w:rPr>
        <w:t xml:space="preserve"> and Callington Road</w:t>
      </w:r>
      <w:r>
        <w:rPr>
          <w:rFonts w:cs="Arial"/>
          <w:szCs w:val="24"/>
        </w:rPr>
        <w:t>.</w:t>
      </w:r>
    </w:p>
    <w:p w14:paraId="659026AE" w14:textId="3956CCE8" w:rsidR="005A1E64" w:rsidRDefault="005A1E64" w:rsidP="0017112E">
      <w:pPr>
        <w:spacing w:after="0"/>
        <w:rPr>
          <w:rFonts w:cs="Arial"/>
          <w:szCs w:val="24"/>
        </w:rPr>
      </w:pPr>
      <w:r>
        <w:rPr>
          <w:rFonts w:cs="Arial"/>
          <w:szCs w:val="24"/>
        </w:rPr>
        <w:t xml:space="preserve"> </w:t>
      </w:r>
    </w:p>
    <w:p w14:paraId="4B64298C" w14:textId="77777777" w:rsidR="00751A72" w:rsidRDefault="005A1E64" w:rsidP="005A1E64">
      <w:proofErr w:type="spellStart"/>
      <w:r w:rsidRPr="00630032">
        <w:rPr>
          <w:rFonts w:cs="Arial"/>
          <w:szCs w:val="24"/>
        </w:rPr>
        <w:t>Fromeside’s</w:t>
      </w:r>
      <w:proofErr w:type="spellEnd"/>
      <w:r w:rsidRPr="00630032">
        <w:rPr>
          <w:rFonts w:cs="Arial"/>
          <w:szCs w:val="24"/>
        </w:rPr>
        <w:t xml:space="preserve"> </w:t>
      </w:r>
      <w:proofErr w:type="spellStart"/>
      <w:r w:rsidRPr="00630032">
        <w:rPr>
          <w:rFonts w:cs="Arial"/>
          <w:szCs w:val="24"/>
        </w:rPr>
        <w:t>Malago</w:t>
      </w:r>
      <w:proofErr w:type="spellEnd"/>
      <w:r w:rsidRPr="00630032">
        <w:rPr>
          <w:rFonts w:cs="Arial"/>
          <w:szCs w:val="24"/>
        </w:rPr>
        <w:t xml:space="preserve"> Centre (occupational therapy) have an occupational therapy led therapeutic garden running sessions which range from sensory to fitness and strength promotion. The garden contains beds of various heights to accommodate physical health challenges and is used to grow food for the </w:t>
      </w:r>
      <w:proofErr w:type="gramStart"/>
      <w:r w:rsidRPr="00630032">
        <w:rPr>
          <w:rFonts w:cs="Arial"/>
          <w:szCs w:val="24"/>
        </w:rPr>
        <w:t>Rivers</w:t>
      </w:r>
      <w:proofErr w:type="gramEnd"/>
      <w:r w:rsidRPr="00630032">
        <w:rPr>
          <w:rFonts w:cs="Arial"/>
          <w:szCs w:val="24"/>
        </w:rPr>
        <w:t xml:space="preserve"> café (onsite vocational training café); flowers for cutting; and an ornamental garden for beauty and sensory work. The herb garden, as well as other food grown in the garden, is used for cooking sessions with service users which help promote healthy eating, nature connection and build additional movement into the day.</w:t>
      </w:r>
      <w:r>
        <w:t xml:space="preserve"> </w:t>
      </w:r>
    </w:p>
    <w:p w14:paraId="6628D4D3" w14:textId="57C56944" w:rsidR="005A1E64" w:rsidRDefault="005A1E64" w:rsidP="005A1E64">
      <w:pPr>
        <w:rPr>
          <w:rFonts w:ascii="Calibri" w:hAnsi="Calibri"/>
        </w:rPr>
      </w:pPr>
      <w:r>
        <w:t xml:space="preserve">At </w:t>
      </w:r>
      <w:r w:rsidR="0089082F">
        <w:t>the</w:t>
      </w:r>
      <w:r>
        <w:t xml:space="preserve"> Callington Road inpatient site, the occupational therapists based at the Coppice and Woodside buildings run groups which utilise the garden areas of wards as well as running an allotment</w:t>
      </w:r>
      <w:r w:rsidR="0089082F">
        <w:t>.</w:t>
      </w:r>
    </w:p>
    <w:p w14:paraId="477986E8" w14:textId="77777777" w:rsidR="005A1E64" w:rsidRDefault="005A1E64" w:rsidP="005A1E64">
      <w:r>
        <w:lastRenderedPageBreak/>
        <w:t xml:space="preserve">Many teams also run walking groups and help service users connect with nature and horticulture activities as part of their recovery plans across the AWP map including Green Gym, volunteering with wildlife trusts, attending walking </w:t>
      </w:r>
      <w:proofErr w:type="gramStart"/>
      <w:r>
        <w:t>groups</w:t>
      </w:r>
      <w:proofErr w:type="gramEnd"/>
    </w:p>
    <w:p w14:paraId="48855801" w14:textId="7FB5A4FA" w:rsidR="00482B48" w:rsidRPr="00482B48" w:rsidRDefault="00482B48" w:rsidP="00C760DB">
      <w:pPr>
        <w:spacing w:after="0" w:line="240" w:lineRule="auto"/>
        <w:textAlignment w:val="center"/>
        <w:rPr>
          <w:rFonts w:cs="Arial"/>
          <w:b/>
          <w:bCs/>
        </w:rPr>
      </w:pPr>
      <w:r w:rsidRPr="00482B48">
        <w:rPr>
          <w:rFonts w:cs="Arial"/>
          <w:b/>
          <w:bCs/>
        </w:rPr>
        <w:t>Acute sites</w:t>
      </w:r>
    </w:p>
    <w:p w14:paraId="276E0D58" w14:textId="77777777" w:rsidR="00E61DD7" w:rsidRDefault="00C760DB" w:rsidP="00C760DB">
      <w:pPr>
        <w:spacing w:after="0" w:line="240" w:lineRule="auto"/>
        <w:textAlignment w:val="center"/>
        <w:rPr>
          <w:rFonts w:cs="Arial"/>
        </w:rPr>
      </w:pPr>
      <w:r w:rsidRPr="00DD54EA">
        <w:rPr>
          <w:rFonts w:cs="Arial"/>
        </w:rPr>
        <w:t xml:space="preserve">In 2023-24 </w:t>
      </w:r>
      <w:r>
        <w:rPr>
          <w:rFonts w:cs="Arial"/>
        </w:rPr>
        <w:t xml:space="preserve">NBT </w:t>
      </w:r>
      <w:r w:rsidRPr="00DD54EA">
        <w:rPr>
          <w:rFonts w:cs="Arial"/>
        </w:rPr>
        <w:t xml:space="preserve">patients continued to use green spaces to support their recovery through social prescribing sessions held in our HITU eco therapy garden, Elgar </w:t>
      </w:r>
      <w:proofErr w:type="gramStart"/>
      <w:r w:rsidRPr="00DD54EA">
        <w:rPr>
          <w:rFonts w:cs="Arial"/>
        </w:rPr>
        <w:t>House</w:t>
      </w:r>
      <w:proofErr w:type="gramEnd"/>
      <w:r w:rsidRPr="00DD54EA">
        <w:rPr>
          <w:rFonts w:cs="Arial"/>
        </w:rPr>
        <w:t xml:space="preserve"> and our Southmead Allotment. Last summer we hosted Natural England’s Nature Conference and invited local organisations and regional NHS Trusts to view our green estate and discuss the NHS’ role in nature recovery. </w:t>
      </w:r>
    </w:p>
    <w:p w14:paraId="358E7830" w14:textId="77777777" w:rsidR="00E61DD7" w:rsidRDefault="00E61DD7" w:rsidP="00C760DB">
      <w:pPr>
        <w:spacing w:after="0" w:line="240" w:lineRule="auto"/>
        <w:textAlignment w:val="center"/>
        <w:rPr>
          <w:rFonts w:cs="Arial"/>
        </w:rPr>
      </w:pPr>
    </w:p>
    <w:p w14:paraId="141697E2" w14:textId="4402AC08" w:rsidR="00C760DB" w:rsidRDefault="00C760DB" w:rsidP="00C760DB">
      <w:pPr>
        <w:spacing w:after="0" w:line="240" w:lineRule="auto"/>
        <w:textAlignment w:val="center"/>
        <w:rPr>
          <w:rFonts w:cs="Arial"/>
        </w:rPr>
      </w:pPr>
      <w:r>
        <w:rPr>
          <w:rFonts w:cs="Arial"/>
        </w:rPr>
        <w:t xml:space="preserve">The acute hospital Trusts have recently been successful in securing a £193k joint bid </w:t>
      </w:r>
      <w:r w:rsidRPr="00DD54EA">
        <w:rPr>
          <w:rFonts w:cs="Arial"/>
        </w:rPr>
        <w:t xml:space="preserve">to </w:t>
      </w:r>
      <w:r>
        <w:rPr>
          <w:rFonts w:cs="Arial"/>
        </w:rPr>
        <w:t xml:space="preserve">fund a Green Spaces Co-Ordinator which will </w:t>
      </w:r>
      <w:r w:rsidRPr="00DD54EA">
        <w:rPr>
          <w:rFonts w:cs="Arial"/>
        </w:rPr>
        <w:t>identify and address barriers to accessing green space and social prescribing</w:t>
      </w:r>
      <w:r>
        <w:rPr>
          <w:rFonts w:cs="Arial"/>
        </w:rPr>
        <w:t xml:space="preserve">. The funding will also </w:t>
      </w:r>
      <w:r w:rsidRPr="00DD54EA">
        <w:rPr>
          <w:rFonts w:cs="Arial"/>
        </w:rPr>
        <w:t xml:space="preserve">embed green social prescribing into the existing Arts on Referral programme and </w:t>
      </w:r>
      <w:r>
        <w:rPr>
          <w:rFonts w:cs="Arial"/>
        </w:rPr>
        <w:t xml:space="preserve">support a </w:t>
      </w:r>
      <w:r w:rsidRPr="00DD54EA">
        <w:rPr>
          <w:rFonts w:cs="Arial"/>
        </w:rPr>
        <w:t xml:space="preserve">pilot </w:t>
      </w:r>
      <w:r>
        <w:rPr>
          <w:rFonts w:cs="Arial"/>
        </w:rPr>
        <w:t>of a</w:t>
      </w:r>
      <w:r w:rsidRPr="00DD54EA">
        <w:rPr>
          <w:rFonts w:cs="Arial"/>
        </w:rPr>
        <w:t xml:space="preserve"> new green social prescribing programme for patients with chronic pain, </w:t>
      </w:r>
      <w:proofErr w:type="gramStart"/>
      <w:r w:rsidRPr="00DD54EA">
        <w:rPr>
          <w:rFonts w:cs="Arial"/>
        </w:rPr>
        <w:t>cancer</w:t>
      </w:r>
      <w:proofErr w:type="gramEnd"/>
      <w:r w:rsidRPr="00DD54EA">
        <w:rPr>
          <w:rFonts w:cs="Arial"/>
        </w:rPr>
        <w:t xml:space="preserve"> or respiratory conditions. The funding will also cover improvements to the HITU eco therapy garden</w:t>
      </w:r>
      <w:r>
        <w:rPr>
          <w:rFonts w:cs="Arial"/>
        </w:rPr>
        <w:t xml:space="preserve">. </w:t>
      </w:r>
    </w:p>
    <w:p w14:paraId="41CD7EB6" w14:textId="77777777" w:rsidR="00C760DB" w:rsidRDefault="00C760DB" w:rsidP="00C760DB">
      <w:pPr>
        <w:spacing w:after="0" w:line="240" w:lineRule="auto"/>
        <w:textAlignment w:val="center"/>
        <w:rPr>
          <w:rFonts w:cs="Arial"/>
        </w:rPr>
      </w:pPr>
    </w:p>
    <w:p w14:paraId="4F6C48E2" w14:textId="14A86705" w:rsidR="007572E3" w:rsidRPr="00482B48" w:rsidRDefault="00482B48" w:rsidP="00C760DB">
      <w:pPr>
        <w:shd w:val="clear" w:color="auto" w:fill="FFFFFF" w:themeFill="background1"/>
        <w:spacing w:after="0" w:line="240" w:lineRule="auto"/>
        <w:contextualSpacing/>
        <w:jc w:val="both"/>
        <w:outlineLvl w:val="0"/>
        <w:rPr>
          <w:rFonts w:eastAsia="Times New Roman" w:cs="Arial"/>
          <w:b/>
          <w:bCs/>
          <w:lang w:eastAsia="en-GB"/>
        </w:rPr>
      </w:pPr>
      <w:r>
        <w:rPr>
          <w:rFonts w:eastAsia="Times New Roman" w:cs="Arial"/>
          <w:b/>
          <w:bCs/>
          <w:lang w:eastAsia="en-GB"/>
        </w:rPr>
        <w:t xml:space="preserve">System wide sites - </w:t>
      </w:r>
      <w:r w:rsidR="007572E3" w:rsidRPr="00482B48">
        <w:rPr>
          <w:rFonts w:eastAsia="Times New Roman" w:cs="Arial"/>
          <w:b/>
          <w:bCs/>
          <w:lang w:eastAsia="en-GB"/>
        </w:rPr>
        <w:t>Healthier with Nature</w:t>
      </w:r>
    </w:p>
    <w:p w14:paraId="0382DC25" w14:textId="3DC1D099" w:rsidR="00C760DB" w:rsidRDefault="00C760DB" w:rsidP="00C760DB">
      <w:pPr>
        <w:shd w:val="clear" w:color="auto" w:fill="FFFFFF" w:themeFill="background1"/>
        <w:spacing w:after="0" w:line="240" w:lineRule="auto"/>
        <w:contextualSpacing/>
        <w:jc w:val="both"/>
        <w:outlineLvl w:val="0"/>
        <w:rPr>
          <w:rFonts w:eastAsia="Times New Roman" w:cs="Arial"/>
          <w:lang w:eastAsia="en-GB"/>
        </w:rPr>
      </w:pPr>
      <w:r>
        <w:rPr>
          <w:rFonts w:eastAsia="Times New Roman" w:cs="Arial"/>
          <w:lang w:eastAsia="en-GB"/>
        </w:rPr>
        <w:t xml:space="preserve">BNSSG hosts one of just seven national test and learn sites across England for Green Social prescribing. Our local programme branded as Healthier with Nature was originally </w:t>
      </w:r>
      <w:proofErr w:type="spellStart"/>
      <w:r>
        <w:rPr>
          <w:rFonts w:eastAsia="Times New Roman" w:cs="Arial"/>
          <w:lang w:eastAsia="en-GB"/>
        </w:rPr>
        <w:t>funded</w:t>
      </w:r>
      <w:proofErr w:type="spellEnd"/>
      <w:r>
        <w:rPr>
          <w:rFonts w:eastAsia="Times New Roman" w:cs="Arial"/>
          <w:lang w:eastAsia="en-GB"/>
        </w:rPr>
        <w:t xml:space="preserve"> in 2021 and has just received £328,000 from Treasury and NHSE to extend work during 2024/25. Sirona host the programme which is considered a national leader in this field with BNSSG hosting ministerial visits and national board meetings in recognition of our work.</w:t>
      </w:r>
    </w:p>
    <w:p w14:paraId="4E442A9E" w14:textId="77777777" w:rsidR="00C760DB" w:rsidRDefault="00C760DB" w:rsidP="00C760DB">
      <w:pPr>
        <w:shd w:val="clear" w:color="auto" w:fill="FFFFFF" w:themeFill="background1"/>
        <w:spacing w:after="0" w:line="240" w:lineRule="auto"/>
        <w:contextualSpacing/>
        <w:jc w:val="both"/>
        <w:outlineLvl w:val="0"/>
        <w:rPr>
          <w:rFonts w:eastAsia="Times New Roman" w:cs="Arial"/>
          <w:lang w:eastAsia="en-GB"/>
        </w:rPr>
      </w:pPr>
    </w:p>
    <w:p w14:paraId="2823CB90" w14:textId="77777777" w:rsidR="00C760DB" w:rsidRDefault="00C760DB" w:rsidP="00C760DB">
      <w:pPr>
        <w:spacing w:after="0" w:line="240" w:lineRule="auto"/>
        <w:textAlignment w:val="center"/>
        <w:rPr>
          <w:rFonts w:eastAsia="Times New Roman" w:cs="Arial"/>
          <w:lang w:eastAsia="en-GB"/>
        </w:rPr>
      </w:pPr>
      <w:r>
        <w:rPr>
          <w:rFonts w:eastAsia="Times New Roman" w:cs="Arial"/>
          <w:lang w:eastAsia="en-GB"/>
        </w:rPr>
        <w:t>To date over 4,000 patients, mainly from primary care have accessed nature</w:t>
      </w:r>
      <w:r w:rsidRPr="06C1817B">
        <w:rPr>
          <w:rFonts w:eastAsia="Times New Roman" w:cs="Arial"/>
          <w:lang w:eastAsia="en-GB"/>
        </w:rPr>
        <w:t>-</w:t>
      </w:r>
      <w:r>
        <w:rPr>
          <w:rFonts w:eastAsia="Times New Roman" w:cs="Arial"/>
          <w:lang w:eastAsia="en-GB"/>
        </w:rPr>
        <w:t xml:space="preserve">based interventions to improve their health outcomes. However, during 2024 </w:t>
      </w:r>
      <w:proofErr w:type="gramStart"/>
      <w:r>
        <w:rPr>
          <w:rFonts w:eastAsia="Times New Roman" w:cs="Arial"/>
          <w:lang w:eastAsia="en-GB"/>
        </w:rPr>
        <w:t>a number of</w:t>
      </w:r>
      <w:proofErr w:type="gramEnd"/>
      <w:r>
        <w:rPr>
          <w:rFonts w:eastAsia="Times New Roman" w:cs="Arial"/>
          <w:lang w:eastAsia="en-GB"/>
        </w:rPr>
        <w:t xml:space="preserve"> different patient cohorts have been included in pilot work including support around hospital discharge, frequent callers to the ambulance service and work with our mental health trust AWP. Work is also developing with our ambulance service </w:t>
      </w:r>
      <w:r w:rsidRPr="65DDB139">
        <w:rPr>
          <w:rFonts w:eastAsia="Times New Roman" w:cs="Arial"/>
          <w:lang w:eastAsia="en-GB"/>
        </w:rPr>
        <w:t>SWASFT</w:t>
      </w:r>
      <w:r>
        <w:rPr>
          <w:rFonts w:eastAsia="Times New Roman" w:cs="Arial"/>
          <w:lang w:eastAsia="en-GB"/>
        </w:rPr>
        <w:t xml:space="preserve"> to better support frequent callers. The aim is to both provide better personalised care for patients but also show a measurable reduction in service usage with the related financial and environmental benefits.</w:t>
      </w:r>
    </w:p>
    <w:p w14:paraId="004516D4" w14:textId="77777777" w:rsidR="00C760DB" w:rsidRDefault="00C760DB" w:rsidP="00C760DB">
      <w:pPr>
        <w:spacing w:after="0" w:line="240" w:lineRule="auto"/>
        <w:textAlignment w:val="center"/>
        <w:rPr>
          <w:rFonts w:eastAsia="Times New Roman" w:cs="Arial"/>
          <w:lang w:eastAsia="en-GB"/>
        </w:rPr>
      </w:pPr>
    </w:p>
    <w:p w14:paraId="75896960" w14:textId="77777777" w:rsidR="00C760DB" w:rsidRDefault="00C760DB" w:rsidP="00C760DB">
      <w:pPr>
        <w:spacing w:after="0" w:line="240" w:lineRule="auto"/>
        <w:textAlignment w:val="center"/>
        <w:rPr>
          <w:rFonts w:eastAsia="Times New Roman" w:cs="Arial"/>
          <w:lang w:eastAsia="en-GB"/>
        </w:rPr>
      </w:pPr>
      <w:r>
        <w:rPr>
          <w:rFonts w:eastAsia="Times New Roman" w:cs="Arial"/>
          <w:lang w:eastAsia="en-GB"/>
        </w:rPr>
        <w:t>In addition to work to improve patient outcomes the programme looks to support nature recovery on NHS Estates by boosting biodiversity both in hospital settings and primary care estates. This improves spaces for nature but also patient care and staff wellbeing.</w:t>
      </w:r>
    </w:p>
    <w:p w14:paraId="339C8814" w14:textId="77777777" w:rsidR="00C760DB" w:rsidRDefault="00C760DB" w:rsidP="00C760DB">
      <w:pPr>
        <w:spacing w:after="0" w:line="240" w:lineRule="auto"/>
        <w:textAlignment w:val="center"/>
        <w:rPr>
          <w:rFonts w:eastAsia="Times New Roman" w:cs="Arial"/>
          <w:lang w:eastAsia="en-GB"/>
        </w:rPr>
      </w:pPr>
    </w:p>
    <w:p w14:paraId="171D4767" w14:textId="77777777" w:rsidR="00C760DB" w:rsidRDefault="00C760DB" w:rsidP="00C760DB">
      <w:pPr>
        <w:spacing w:after="0" w:line="240" w:lineRule="auto"/>
        <w:textAlignment w:val="center"/>
        <w:rPr>
          <w:rFonts w:eastAsia="Times New Roman" w:cs="Arial"/>
          <w:lang w:eastAsia="en-GB"/>
        </w:rPr>
      </w:pPr>
      <w:r>
        <w:rPr>
          <w:rFonts w:eastAsia="Times New Roman" w:cs="Arial"/>
          <w:lang w:eastAsia="en-GB"/>
        </w:rPr>
        <w:t>Healthier with Nature has been a real success story for BNSSG but still has no long</w:t>
      </w:r>
      <w:r w:rsidRPr="3B092985">
        <w:rPr>
          <w:rFonts w:eastAsia="Times New Roman" w:cs="Arial"/>
          <w:lang w:eastAsia="en-GB"/>
        </w:rPr>
        <w:t>-</w:t>
      </w:r>
      <w:r>
        <w:rPr>
          <w:rFonts w:eastAsia="Times New Roman" w:cs="Arial"/>
          <w:lang w:eastAsia="en-GB"/>
        </w:rPr>
        <w:t>term recurrent funding and as such is likely to have significantly reduced capacity after April 2025 unless some revenue funding can be found to support in the longer term. There is a risk that a work stream for which BNSSG is considered a regional and national leader will be diluted.</w:t>
      </w:r>
    </w:p>
    <w:p w14:paraId="3196C460" w14:textId="77777777" w:rsidR="007E2FBC" w:rsidRDefault="007E2FBC" w:rsidP="006616E9"/>
    <w:p w14:paraId="2A169987" w14:textId="0F686C04" w:rsidR="00FD063A" w:rsidRDefault="001D0AAD" w:rsidP="001D0AAD">
      <w:pPr>
        <w:pStyle w:val="Subtitle"/>
      </w:pPr>
      <w:r>
        <w:t>3.4 Staff Engagement</w:t>
      </w:r>
    </w:p>
    <w:p w14:paraId="2930F71A" w14:textId="0591F3F1" w:rsidR="0067203C" w:rsidRDefault="0067203C" w:rsidP="0067203C">
      <w:pPr>
        <w:spacing w:after="0" w:line="240" w:lineRule="auto"/>
        <w:textAlignment w:val="center"/>
        <w:rPr>
          <w:rFonts w:eastAsia="Times New Roman" w:cs="Arial"/>
          <w:lang w:eastAsia="en-GB"/>
        </w:rPr>
      </w:pPr>
      <w:r>
        <w:rPr>
          <w:rFonts w:eastAsia="Times New Roman" w:cs="Arial"/>
          <w:lang w:eastAsia="en-GB"/>
        </w:rPr>
        <w:t xml:space="preserve">Our staff are our greatest asset in delivering sustainable healthcare. From keeping the population healthy to making procurement decisions of what products to buy our staff are fundamental to achieving our Green Plan objectives. As shown in the green operating day case study staff led change is crucial to us moving to sustainable models of care and </w:t>
      </w:r>
      <w:r>
        <w:rPr>
          <w:rFonts w:eastAsia="Times New Roman" w:cs="Arial"/>
          <w:lang w:eastAsia="en-GB"/>
        </w:rPr>
        <w:lastRenderedPageBreak/>
        <w:t xml:space="preserve">realising the environmental, </w:t>
      </w:r>
      <w:proofErr w:type="gramStart"/>
      <w:r>
        <w:rPr>
          <w:rFonts w:eastAsia="Times New Roman" w:cs="Arial"/>
          <w:lang w:eastAsia="en-GB"/>
        </w:rPr>
        <w:t>social</w:t>
      </w:r>
      <w:proofErr w:type="gramEnd"/>
      <w:r>
        <w:rPr>
          <w:rFonts w:eastAsia="Times New Roman" w:cs="Arial"/>
          <w:lang w:eastAsia="en-GB"/>
        </w:rPr>
        <w:t xml:space="preserve"> and financial benefits. Staff awareness and engagement in sustainability is essential to meet our responsibility to show leadership in all our interactions with our communities</w:t>
      </w:r>
      <w:r w:rsidR="00585799">
        <w:rPr>
          <w:rFonts w:eastAsia="Times New Roman" w:cs="Arial"/>
          <w:lang w:eastAsia="en-GB"/>
        </w:rPr>
        <w:t xml:space="preserve">. Staff are </w:t>
      </w:r>
      <w:r w:rsidR="00D95FD0">
        <w:rPr>
          <w:rFonts w:eastAsia="Times New Roman" w:cs="Arial"/>
          <w:lang w:eastAsia="en-GB"/>
        </w:rPr>
        <w:t xml:space="preserve">also </w:t>
      </w:r>
      <w:r w:rsidR="00585799">
        <w:rPr>
          <w:rFonts w:eastAsia="Times New Roman" w:cs="Arial"/>
          <w:lang w:eastAsia="en-GB"/>
        </w:rPr>
        <w:t>crucial in</w:t>
      </w:r>
      <w:r>
        <w:rPr>
          <w:rFonts w:eastAsia="Times New Roman" w:cs="Arial"/>
          <w:lang w:eastAsia="en-GB"/>
        </w:rPr>
        <w:t xml:space="preserve"> </w:t>
      </w:r>
      <w:r w:rsidR="00D95FD0">
        <w:rPr>
          <w:rFonts w:eastAsia="Times New Roman" w:cs="Arial"/>
          <w:lang w:eastAsia="en-GB"/>
        </w:rPr>
        <w:t>modelling</w:t>
      </w:r>
      <w:r>
        <w:rPr>
          <w:rFonts w:eastAsia="Times New Roman" w:cs="Arial"/>
          <w:lang w:eastAsia="en-GB"/>
        </w:rPr>
        <w:t xml:space="preserve"> the behaviours and providing the health perspective on climate change to support the culture change required in our society.</w:t>
      </w:r>
    </w:p>
    <w:p w14:paraId="6A9A2D13" w14:textId="77777777" w:rsidR="00752A59" w:rsidRDefault="00752A59" w:rsidP="0067203C">
      <w:pPr>
        <w:spacing w:after="0" w:line="240" w:lineRule="auto"/>
        <w:textAlignment w:val="center"/>
        <w:rPr>
          <w:rFonts w:eastAsia="Times New Roman" w:cs="Arial"/>
          <w:lang w:eastAsia="en-GB"/>
        </w:rPr>
      </w:pPr>
    </w:p>
    <w:p w14:paraId="20D02C2C" w14:textId="77777777" w:rsidR="00752A59" w:rsidRDefault="00752A59" w:rsidP="00752A59">
      <w:pPr>
        <w:spacing w:after="0" w:line="240" w:lineRule="auto"/>
        <w:textAlignment w:val="center"/>
        <w:rPr>
          <w:rFonts w:eastAsia="Times New Roman" w:cs="Arial"/>
          <w:lang w:eastAsia="en-GB"/>
        </w:rPr>
      </w:pPr>
      <w:r w:rsidRPr="00880C07">
        <w:rPr>
          <w:rFonts w:eastAsia="Times New Roman" w:cs="Arial"/>
          <w:lang w:eastAsia="en-GB"/>
        </w:rPr>
        <w:t>In 2023-24, the ICS Communications and Engagement workstream launched several Net Zero for Health campaigns to acknowledge the importance of achieving net zero to create a safe and healthy future for our patients</w:t>
      </w:r>
      <w:r>
        <w:rPr>
          <w:rFonts w:eastAsia="Times New Roman" w:cs="Arial"/>
          <w:lang w:eastAsia="en-GB"/>
        </w:rPr>
        <w:t>.</w:t>
      </w:r>
    </w:p>
    <w:p w14:paraId="4BE8108F" w14:textId="77777777" w:rsidR="00752A59" w:rsidRDefault="00752A59" w:rsidP="0067203C">
      <w:pPr>
        <w:spacing w:after="0" w:line="240" w:lineRule="auto"/>
        <w:textAlignment w:val="center"/>
        <w:rPr>
          <w:rFonts w:eastAsia="Times New Roman" w:cs="Arial"/>
          <w:lang w:eastAsia="en-GB"/>
        </w:rPr>
      </w:pPr>
    </w:p>
    <w:p w14:paraId="021A724D" w14:textId="7CF1B4D9" w:rsidR="00FB7933" w:rsidRDefault="00FB7933" w:rsidP="0067203C">
      <w:pPr>
        <w:spacing w:after="0" w:line="240" w:lineRule="auto"/>
        <w:textAlignment w:val="center"/>
        <w:rPr>
          <w:rFonts w:eastAsia="Times New Roman" w:cs="Arial"/>
          <w:color w:val="FF0000"/>
          <w:lang w:eastAsia="en-GB"/>
        </w:rPr>
      </w:pPr>
    </w:p>
    <w:tbl>
      <w:tblPr>
        <w:tblStyle w:val="TableGrid"/>
        <w:tblW w:w="0" w:type="auto"/>
        <w:tblLook w:val="04A0" w:firstRow="1" w:lastRow="0" w:firstColumn="1" w:lastColumn="0" w:noHBand="0" w:noVBand="1"/>
      </w:tblPr>
      <w:tblGrid>
        <w:gridCol w:w="2689"/>
        <w:gridCol w:w="6804"/>
      </w:tblGrid>
      <w:tr w:rsidR="0071310E" w14:paraId="2B12D707" w14:textId="77777777" w:rsidTr="00A361E6">
        <w:tc>
          <w:tcPr>
            <w:tcW w:w="2689" w:type="dxa"/>
          </w:tcPr>
          <w:p w14:paraId="4C26C4A4" w14:textId="77777777" w:rsidR="0071310E" w:rsidRDefault="0071310E" w:rsidP="00D41CE3">
            <w:r>
              <w:t>Target</w:t>
            </w:r>
          </w:p>
        </w:tc>
        <w:tc>
          <w:tcPr>
            <w:tcW w:w="6804" w:type="dxa"/>
          </w:tcPr>
          <w:p w14:paraId="0652A1B9" w14:textId="77777777" w:rsidR="0071310E" w:rsidRDefault="0071310E" w:rsidP="00D41CE3">
            <w:r>
              <w:t>Progress</w:t>
            </w:r>
          </w:p>
        </w:tc>
      </w:tr>
      <w:tr w:rsidR="0071310E" w14:paraId="79F5BC4F" w14:textId="77777777" w:rsidTr="00A361E6">
        <w:tc>
          <w:tcPr>
            <w:tcW w:w="2689" w:type="dxa"/>
          </w:tcPr>
          <w:p w14:paraId="319A7D4D" w14:textId="77777777" w:rsidR="0071310E" w:rsidRDefault="00873043" w:rsidP="00D41CE3">
            <w:r w:rsidRPr="00873043">
              <w:t xml:space="preserve">10% of staff by 2025 actively </w:t>
            </w:r>
            <w:proofErr w:type="gramStart"/>
            <w:r w:rsidRPr="00873043">
              <w:t>engaged</w:t>
            </w:r>
            <w:proofErr w:type="gramEnd"/>
          </w:p>
          <w:p w14:paraId="20483B81" w14:textId="758765A2" w:rsidR="00E523EF" w:rsidRDefault="00E523EF" w:rsidP="00D41CE3">
            <w:r w:rsidRPr="00E523EF">
              <w:t xml:space="preserve">Increase number of Green Champions by 5% per year </w:t>
            </w:r>
          </w:p>
        </w:tc>
        <w:tc>
          <w:tcPr>
            <w:tcW w:w="6804" w:type="dxa"/>
          </w:tcPr>
          <w:p w14:paraId="31629098" w14:textId="77777777" w:rsidR="00B3711B" w:rsidRDefault="001E3011" w:rsidP="00D41CE3">
            <w:pPr>
              <w:pStyle w:val="ListParagraph"/>
              <w:numPr>
                <w:ilvl w:val="0"/>
                <w:numId w:val="22"/>
              </w:numPr>
            </w:pPr>
            <w:r w:rsidRPr="001E3011">
              <w:t xml:space="preserve">This year NBT and UHBW celebrate the two-year anniversary of their joint sustainability staff engagement scheme, Greener Together, which has so far seen 568 staff members sign up and 18,575 actions being </w:t>
            </w:r>
            <w:proofErr w:type="gramStart"/>
            <w:r w:rsidRPr="001E3011">
              <w:t>taken</w:t>
            </w:r>
            <w:proofErr w:type="gramEnd"/>
          </w:p>
          <w:p w14:paraId="7B05949A" w14:textId="65F2DF04" w:rsidR="001E3011" w:rsidRDefault="001E3011" w:rsidP="00D41CE3">
            <w:pPr>
              <w:pStyle w:val="ListParagraph"/>
              <w:numPr>
                <w:ilvl w:val="0"/>
                <w:numId w:val="22"/>
              </w:numPr>
            </w:pPr>
            <w:r w:rsidRPr="001E3011">
              <w:t>NBT also introduced its first ever Sustainability Staff Award which was awarded to Dr Emma Carver for her unwavering dedication to embedding sustainability within the Emergency Department.</w:t>
            </w:r>
          </w:p>
          <w:p w14:paraId="33356D82" w14:textId="21775BB3" w:rsidR="00663FA2" w:rsidRPr="00663FA2" w:rsidRDefault="00663FA2" w:rsidP="00D41CE3">
            <w:pPr>
              <w:pStyle w:val="ListParagraph"/>
              <w:numPr>
                <w:ilvl w:val="0"/>
                <w:numId w:val="22"/>
              </w:numPr>
            </w:pPr>
            <w:r>
              <w:t>11246 engagements with staff</w:t>
            </w:r>
          </w:p>
          <w:p w14:paraId="0E1F8188" w14:textId="7B742ED4" w:rsidR="0071310E" w:rsidRPr="00BA1881" w:rsidRDefault="008F3739" w:rsidP="00D41CE3">
            <w:pPr>
              <w:pStyle w:val="ListParagraph"/>
              <w:numPr>
                <w:ilvl w:val="0"/>
                <w:numId w:val="22"/>
              </w:numPr>
            </w:pPr>
            <w:r>
              <w:rPr>
                <w:rFonts w:eastAsia="Times New Roman" w:cs="Arial"/>
                <w:color w:val="000000"/>
                <w:szCs w:val="24"/>
              </w:rPr>
              <w:t xml:space="preserve">Current engagement scheme </w:t>
            </w:r>
            <w:proofErr w:type="gramStart"/>
            <w:r>
              <w:rPr>
                <w:rFonts w:eastAsia="Times New Roman" w:cs="Arial"/>
                <w:color w:val="000000"/>
                <w:szCs w:val="24"/>
              </w:rPr>
              <w:t>reviewed</w:t>
            </w:r>
            <w:proofErr w:type="gramEnd"/>
          </w:p>
          <w:p w14:paraId="69B904B0" w14:textId="6C6A7744" w:rsidR="0071310E" w:rsidRDefault="002932E0" w:rsidP="00D41CE3">
            <w:pPr>
              <w:pStyle w:val="ListParagraph"/>
              <w:numPr>
                <w:ilvl w:val="0"/>
                <w:numId w:val="22"/>
              </w:numPr>
            </w:pPr>
            <w:r w:rsidRPr="002932E0">
              <w:t>Completed system Comm</w:t>
            </w:r>
            <w:r>
              <w:t>unications</w:t>
            </w:r>
            <w:r w:rsidRPr="002932E0">
              <w:t xml:space="preserve"> programme of engagement activities</w:t>
            </w:r>
          </w:p>
        </w:tc>
      </w:tr>
      <w:tr w:rsidR="0071310E" w14:paraId="3696DFD3" w14:textId="77777777" w:rsidTr="00A361E6">
        <w:tc>
          <w:tcPr>
            <w:tcW w:w="2689" w:type="dxa"/>
          </w:tcPr>
          <w:p w14:paraId="634623E0" w14:textId="16840468" w:rsidR="0071310E" w:rsidRDefault="00E6333E" w:rsidP="00D41CE3">
            <w:r w:rsidRPr="00E6333E">
              <w:t xml:space="preserve">Increase in number of staff reporting increased awareness of Climate &amp; Ecological emergency and report having made practical changes (in workplace and outside) </w:t>
            </w:r>
          </w:p>
        </w:tc>
        <w:tc>
          <w:tcPr>
            <w:tcW w:w="6804" w:type="dxa"/>
          </w:tcPr>
          <w:p w14:paraId="1EFDEDC9" w14:textId="77777777" w:rsidR="0071310E" w:rsidRDefault="00A33EF5" w:rsidP="00D41CE3">
            <w:pPr>
              <w:pStyle w:val="ListParagraph"/>
              <w:numPr>
                <w:ilvl w:val="0"/>
                <w:numId w:val="19"/>
              </w:numPr>
            </w:pPr>
            <w:r>
              <w:t xml:space="preserve">13 lunch and learn sustainability </w:t>
            </w:r>
            <w:proofErr w:type="gramStart"/>
            <w:r>
              <w:t>webinars</w:t>
            </w:r>
            <w:proofErr w:type="gramEnd"/>
          </w:p>
          <w:p w14:paraId="531FF589" w14:textId="77777777" w:rsidR="00381148" w:rsidRDefault="00381148" w:rsidP="00D41CE3">
            <w:pPr>
              <w:pStyle w:val="ListParagraph"/>
              <w:numPr>
                <w:ilvl w:val="0"/>
                <w:numId w:val="19"/>
              </w:numPr>
            </w:pPr>
            <w:r>
              <w:t xml:space="preserve">Visited 12 </w:t>
            </w:r>
            <w:proofErr w:type="gramStart"/>
            <w:r>
              <w:t>teams</w:t>
            </w:r>
            <w:proofErr w:type="gramEnd"/>
          </w:p>
          <w:p w14:paraId="248CE43F" w14:textId="77777777" w:rsidR="00381148" w:rsidRDefault="00381148" w:rsidP="00D41CE3">
            <w:pPr>
              <w:pStyle w:val="ListParagraph"/>
              <w:numPr>
                <w:ilvl w:val="0"/>
                <w:numId w:val="19"/>
              </w:numPr>
            </w:pPr>
            <w:r>
              <w:t xml:space="preserve">35 </w:t>
            </w:r>
            <w:proofErr w:type="gramStart"/>
            <w:r>
              <w:t>face</w:t>
            </w:r>
            <w:proofErr w:type="gramEnd"/>
            <w:r>
              <w:t xml:space="preserve"> to face events</w:t>
            </w:r>
          </w:p>
          <w:p w14:paraId="14DB27E9" w14:textId="4C1D0FAA" w:rsidR="005B2F24" w:rsidRPr="00937948" w:rsidRDefault="005B2F24" w:rsidP="00D41CE3">
            <w:pPr>
              <w:pStyle w:val="ListParagraph"/>
              <w:numPr>
                <w:ilvl w:val="0"/>
                <w:numId w:val="19"/>
              </w:numPr>
            </w:pPr>
            <w:r>
              <w:t>AWP the CEAG Group is the main forum for raising awareness of sustainability and taking forward ideas from staff members, which will help to reduce carbon emissions and reduce costs</w:t>
            </w:r>
          </w:p>
        </w:tc>
      </w:tr>
      <w:tr w:rsidR="0071310E" w14:paraId="541F4EA5" w14:textId="77777777" w:rsidTr="00A361E6">
        <w:tc>
          <w:tcPr>
            <w:tcW w:w="2689" w:type="dxa"/>
          </w:tcPr>
          <w:p w14:paraId="551574BF" w14:textId="126E45EE" w:rsidR="0071310E" w:rsidRDefault="00C012CB" w:rsidP="00D41CE3">
            <w:r w:rsidRPr="00C012CB">
              <w:t>10 GP surgeries active on green impact for health toolkit by October 2024</w:t>
            </w:r>
          </w:p>
        </w:tc>
        <w:tc>
          <w:tcPr>
            <w:tcW w:w="6804" w:type="dxa"/>
          </w:tcPr>
          <w:p w14:paraId="23BE2171" w14:textId="5593F342" w:rsidR="00372732" w:rsidRDefault="00372732" w:rsidP="00D41CE3">
            <w:pPr>
              <w:pStyle w:val="ListParagraph"/>
              <w:numPr>
                <w:ilvl w:val="0"/>
                <w:numId w:val="21"/>
              </w:numPr>
            </w:pPr>
            <w:r w:rsidRPr="00372732">
              <w:t>The Bristol &amp; Bath Greener Practice group</w:t>
            </w:r>
            <w:r w:rsidR="00443DF1" w:rsidRPr="00372732">
              <w:t xml:space="preserve"> meets </w:t>
            </w:r>
            <w:r w:rsidR="00443DF1">
              <w:t>monthl</w:t>
            </w:r>
            <w:r w:rsidR="00443DF1" w:rsidRPr="00372732">
              <w:t>y to share learning and develop projects</w:t>
            </w:r>
            <w:r w:rsidR="00443DF1">
              <w:t xml:space="preserve"> with the</w:t>
            </w:r>
            <w:r w:rsidRPr="00372732">
              <w:t xml:space="preserve"> aim of making our local primary care systems as environmentally friendly as possible.  improve uptake of the Green Impact for Health toolkit, which is hosted by the RCGP and is open to all GPs to reduce their carbon footprint.  The toolkit is a series of actions which can be ticked off to achieve points.  These accumulate towards bronze, silver, </w:t>
            </w:r>
            <w:proofErr w:type="gramStart"/>
            <w:r w:rsidRPr="00372732">
              <w:t>gold</w:t>
            </w:r>
            <w:proofErr w:type="gramEnd"/>
            <w:r w:rsidRPr="00372732">
              <w:t xml:space="preserve"> and carbon awards.  Actions are in the clinical, managerial and admin arenas. The group provides peer support by discussing different areas of the toolkit in meetings and sharing ideas and solutions between practices.</w:t>
            </w:r>
          </w:p>
          <w:p w14:paraId="332CAE16" w14:textId="727F9683" w:rsidR="0071310E" w:rsidRPr="00937948" w:rsidRDefault="00C012CB" w:rsidP="00D41CE3">
            <w:pPr>
              <w:pStyle w:val="ListParagraph"/>
              <w:numPr>
                <w:ilvl w:val="0"/>
                <w:numId w:val="21"/>
              </w:numPr>
            </w:pPr>
            <w:r w:rsidRPr="00C012CB">
              <w:t>£20k CATCH programme launched</w:t>
            </w:r>
          </w:p>
        </w:tc>
      </w:tr>
      <w:tr w:rsidR="0071310E" w14:paraId="62A04B12" w14:textId="77777777" w:rsidTr="00A361E6">
        <w:tc>
          <w:tcPr>
            <w:tcW w:w="2689" w:type="dxa"/>
          </w:tcPr>
          <w:p w14:paraId="5018E2D0" w14:textId="7966B06F" w:rsidR="0071310E" w:rsidRPr="00676A30" w:rsidRDefault="00752A59" w:rsidP="00D41CE3">
            <w:r>
              <w:lastRenderedPageBreak/>
              <w:t xml:space="preserve">Training - </w:t>
            </w:r>
            <w:r w:rsidR="000F36B7" w:rsidRPr="000F36B7">
              <w:t>Sustainability e-learning promoted and completed by 20% of staff by 2025</w:t>
            </w:r>
          </w:p>
        </w:tc>
        <w:tc>
          <w:tcPr>
            <w:tcW w:w="6804" w:type="dxa"/>
          </w:tcPr>
          <w:p w14:paraId="64A4F92F" w14:textId="77777777" w:rsidR="0071310E" w:rsidRDefault="003E6A4B" w:rsidP="00D41CE3">
            <w:pPr>
              <w:pStyle w:val="ListParagraph"/>
              <w:numPr>
                <w:ilvl w:val="0"/>
                <w:numId w:val="21"/>
              </w:numPr>
            </w:pPr>
            <w:r w:rsidRPr="003E6A4B">
              <w:t xml:space="preserve">E-learning mandatory at ICB other organisations to </w:t>
            </w:r>
            <w:proofErr w:type="gramStart"/>
            <w:r w:rsidRPr="003E6A4B">
              <w:t>consider</w:t>
            </w:r>
            <w:proofErr w:type="gramEnd"/>
          </w:p>
          <w:p w14:paraId="65C21B5A" w14:textId="6B321681" w:rsidR="003E6A4B" w:rsidRPr="00AE6B46" w:rsidRDefault="00752A59" w:rsidP="00D41CE3">
            <w:pPr>
              <w:pStyle w:val="ListParagraph"/>
              <w:numPr>
                <w:ilvl w:val="0"/>
                <w:numId w:val="21"/>
              </w:numPr>
            </w:pPr>
            <w:r w:rsidRPr="00752A59">
              <w:t>The development of a sustainability impact assessment with carbon calculator at NBT is a key tool being provided to enable better decision making by staff. The tool has been integrated by the ICB into its gateway process. Further embedding use across the system will support staff integrating sustainability into their ways of working</w:t>
            </w:r>
          </w:p>
        </w:tc>
      </w:tr>
    </w:tbl>
    <w:p w14:paraId="7D41DFDE" w14:textId="0D10287A" w:rsidR="00880224" w:rsidRDefault="00880224" w:rsidP="0067203C">
      <w:pPr>
        <w:spacing w:after="0" w:line="240" w:lineRule="auto"/>
        <w:textAlignment w:val="center"/>
        <w:rPr>
          <w:rFonts w:eastAsia="Times New Roman" w:cs="Arial"/>
          <w:color w:val="FF0000"/>
          <w:lang w:eastAsia="en-GB"/>
        </w:rPr>
      </w:pPr>
    </w:p>
    <w:p w14:paraId="15811F93" w14:textId="77777777" w:rsidR="00D441BF" w:rsidRDefault="00414B9D" w:rsidP="00D441BF">
      <w:pPr>
        <w:pStyle w:val="NormalWeb"/>
        <w:spacing w:before="0" w:beforeAutospacing="0" w:after="0" w:afterAutospacing="0"/>
        <w:textAlignment w:val="baseline"/>
        <w:rPr>
          <w:rFonts w:asciiTheme="minorHAnsi" w:hAnsiTheme="minorHAnsi" w:cstheme="minorHAnsi"/>
        </w:rPr>
      </w:pPr>
      <w:r w:rsidRPr="0035764F">
        <w:rPr>
          <w:rFonts w:asciiTheme="minorHAnsi" w:hAnsiTheme="minorHAnsi" w:cstheme="minorHAnsi"/>
        </w:rPr>
        <w:t xml:space="preserve">Engagement </w:t>
      </w:r>
      <w:r w:rsidR="003540CE">
        <w:rPr>
          <w:rFonts w:asciiTheme="minorHAnsi" w:hAnsiTheme="minorHAnsi" w:cstheme="minorHAnsi"/>
        </w:rPr>
        <w:t>is important for</w:t>
      </w:r>
      <w:r w:rsidRPr="0035764F">
        <w:rPr>
          <w:rFonts w:asciiTheme="minorHAnsi" w:hAnsiTheme="minorHAnsi" w:cstheme="minorHAnsi"/>
        </w:rPr>
        <w:t xml:space="preserve"> </w:t>
      </w:r>
      <w:r w:rsidR="00F259F1" w:rsidRPr="0035764F">
        <w:rPr>
          <w:rFonts w:asciiTheme="minorHAnsi" w:hAnsiTheme="minorHAnsi" w:cstheme="minorHAnsi"/>
        </w:rPr>
        <w:t xml:space="preserve">recruitment and retention </w:t>
      </w:r>
      <w:r w:rsidR="003540CE">
        <w:rPr>
          <w:rFonts w:asciiTheme="minorHAnsi" w:hAnsiTheme="minorHAnsi" w:cstheme="minorHAnsi"/>
        </w:rPr>
        <w:t xml:space="preserve">of staff. </w:t>
      </w:r>
      <w:r w:rsidR="00E379EE" w:rsidRPr="0035764F">
        <w:rPr>
          <w:rFonts w:asciiTheme="minorHAnsi" w:hAnsiTheme="minorHAnsi" w:cstheme="minorHAnsi"/>
        </w:rPr>
        <w:t xml:space="preserve">With demand for staff exceeding supply, one of the ways in which </w:t>
      </w:r>
      <w:r w:rsidR="009F2441" w:rsidRPr="0035764F">
        <w:rPr>
          <w:rFonts w:asciiTheme="minorHAnsi" w:hAnsiTheme="minorHAnsi" w:cstheme="minorHAnsi"/>
        </w:rPr>
        <w:t>healthcare</w:t>
      </w:r>
      <w:r w:rsidR="00E379EE" w:rsidRPr="0035764F">
        <w:rPr>
          <w:rFonts w:asciiTheme="minorHAnsi" w:hAnsiTheme="minorHAnsi" w:cstheme="minorHAnsi"/>
        </w:rPr>
        <w:t xml:space="preserve"> can stand out is through </w:t>
      </w:r>
      <w:r w:rsidR="00B63971">
        <w:rPr>
          <w:rFonts w:asciiTheme="minorHAnsi" w:hAnsiTheme="minorHAnsi" w:cstheme="minorHAnsi"/>
        </w:rPr>
        <w:t>its</w:t>
      </w:r>
      <w:r w:rsidR="00E379EE" w:rsidRPr="0035764F">
        <w:rPr>
          <w:rFonts w:asciiTheme="minorHAnsi" w:hAnsiTheme="minorHAnsi" w:cstheme="minorHAnsi"/>
        </w:rPr>
        <w:t xml:space="preserve"> sustainability efforts. The simple act of prioritising environmental issues can be </w:t>
      </w:r>
      <w:r w:rsidR="00027733">
        <w:rPr>
          <w:rFonts w:asciiTheme="minorHAnsi" w:hAnsiTheme="minorHAnsi" w:cstheme="minorHAnsi"/>
        </w:rPr>
        <w:t>an</w:t>
      </w:r>
      <w:r w:rsidR="00E379EE" w:rsidRPr="0035764F">
        <w:rPr>
          <w:rFonts w:asciiTheme="minorHAnsi" w:hAnsiTheme="minorHAnsi" w:cstheme="minorHAnsi"/>
        </w:rPr>
        <w:t xml:space="preserve"> effective way to increase employee engagement and attract </w:t>
      </w:r>
      <w:r w:rsidR="00EF7CF3" w:rsidRPr="0035764F">
        <w:rPr>
          <w:rFonts w:asciiTheme="minorHAnsi" w:hAnsiTheme="minorHAnsi" w:cstheme="minorHAnsi"/>
        </w:rPr>
        <w:t>staff</w:t>
      </w:r>
      <w:r w:rsidR="00E379EE" w:rsidRPr="0035764F">
        <w:rPr>
          <w:rFonts w:asciiTheme="minorHAnsi" w:hAnsiTheme="minorHAnsi" w:cstheme="minorHAnsi"/>
        </w:rPr>
        <w:t xml:space="preserve">. </w:t>
      </w:r>
    </w:p>
    <w:p w14:paraId="7727E156" w14:textId="77777777" w:rsidR="00D441BF" w:rsidRDefault="00D441BF" w:rsidP="00D441BF">
      <w:pPr>
        <w:pStyle w:val="NormalWeb"/>
        <w:spacing w:before="0" w:beforeAutospacing="0" w:after="0" w:afterAutospacing="0"/>
        <w:textAlignment w:val="baseline"/>
        <w:rPr>
          <w:rFonts w:asciiTheme="minorHAnsi" w:hAnsiTheme="minorHAnsi" w:cstheme="minorHAnsi"/>
        </w:rPr>
      </w:pPr>
    </w:p>
    <w:p w14:paraId="1FD2DEF1" w14:textId="5C7F7E41" w:rsidR="00E379EE" w:rsidRDefault="00DA4A08" w:rsidP="00D441BF">
      <w:pPr>
        <w:pStyle w:val="NormalWeb"/>
        <w:spacing w:before="0" w:beforeAutospacing="0" w:after="0" w:afterAutospacing="0"/>
        <w:textAlignment w:val="baseline"/>
        <w:rPr>
          <w:rFonts w:asciiTheme="minorHAnsi" w:hAnsiTheme="minorHAnsi" w:cstheme="minorHAnsi"/>
        </w:rPr>
      </w:pPr>
      <w:r w:rsidRPr="0035764F">
        <w:rPr>
          <w:rFonts w:asciiTheme="minorHAnsi" w:hAnsiTheme="minorHAnsi" w:cstheme="minorHAnsi"/>
        </w:rPr>
        <w:t xml:space="preserve">This is particularly </w:t>
      </w:r>
      <w:r w:rsidR="00414B9D" w:rsidRPr="0035764F">
        <w:rPr>
          <w:rFonts w:asciiTheme="minorHAnsi" w:hAnsiTheme="minorHAnsi" w:cstheme="minorHAnsi"/>
        </w:rPr>
        <w:t>the case in</w:t>
      </w:r>
      <w:r w:rsidR="00E379EE" w:rsidRPr="0035764F">
        <w:rPr>
          <w:rFonts w:asciiTheme="minorHAnsi" w:hAnsiTheme="minorHAnsi" w:cstheme="minorHAnsi"/>
        </w:rPr>
        <w:t xml:space="preserve"> providing what the new generation of employees </w:t>
      </w:r>
      <w:r w:rsidR="00225D30">
        <w:rPr>
          <w:rFonts w:asciiTheme="minorHAnsi" w:hAnsiTheme="minorHAnsi" w:cstheme="minorHAnsi"/>
        </w:rPr>
        <w:t xml:space="preserve">are looking for in employers. </w:t>
      </w:r>
      <w:r w:rsidR="00E379EE" w:rsidRPr="0035764F">
        <w:rPr>
          <w:rFonts w:asciiTheme="minorHAnsi" w:hAnsiTheme="minorHAnsi" w:cstheme="minorHAnsi"/>
        </w:rPr>
        <w:t>By 2025, it is projected that Generation Z will make up </w:t>
      </w:r>
      <w:hyperlink r:id="rId24" w:anchor=":~:text=There%20are%20more%20than%202,about%2027%25%20of%20the%20workforce." w:history="1">
        <w:r w:rsidR="00E379EE" w:rsidRPr="00E46540">
          <w:rPr>
            <w:rStyle w:val="Hyperlink"/>
            <w:rFonts w:asciiTheme="minorHAnsi" w:hAnsiTheme="minorHAnsi" w:cstheme="minorHAnsi"/>
            <w:color w:val="075EDB" w:themeColor="accent2"/>
            <w:u w:val="none"/>
            <w:bdr w:val="none" w:sz="0" w:space="0" w:color="auto" w:frame="1"/>
          </w:rPr>
          <w:t>27% of the workforce</w:t>
        </w:r>
      </w:hyperlink>
      <w:r w:rsidR="00E379EE" w:rsidRPr="0035764F">
        <w:rPr>
          <w:rFonts w:asciiTheme="minorHAnsi" w:hAnsiTheme="minorHAnsi" w:cstheme="minorHAnsi"/>
        </w:rPr>
        <w:t>, with Millennials making up the vast majority of the remainder. When it comes to recruitment, aligning with Gen Z and Millennial values is going to be key.</w:t>
      </w:r>
    </w:p>
    <w:p w14:paraId="39C442D8" w14:textId="77777777" w:rsidR="00BC19D9" w:rsidRPr="0035764F" w:rsidRDefault="00BC19D9" w:rsidP="00E379EE">
      <w:pPr>
        <w:pStyle w:val="NormalWeb"/>
        <w:spacing w:before="0" w:beforeAutospacing="0" w:after="0" w:afterAutospacing="0"/>
        <w:textAlignment w:val="baseline"/>
        <w:rPr>
          <w:rFonts w:asciiTheme="minorHAnsi" w:hAnsiTheme="minorHAnsi" w:cstheme="minorHAnsi"/>
        </w:rPr>
      </w:pPr>
    </w:p>
    <w:p w14:paraId="213028EF" w14:textId="77777777" w:rsidR="00E379EE" w:rsidRPr="0035764F" w:rsidRDefault="00E379EE" w:rsidP="00246EE3">
      <w:pPr>
        <w:numPr>
          <w:ilvl w:val="0"/>
          <w:numId w:val="23"/>
        </w:numPr>
        <w:spacing w:after="0" w:line="240" w:lineRule="auto"/>
        <w:ind w:left="426" w:hanging="357"/>
        <w:textAlignment w:val="baseline"/>
        <w:rPr>
          <w:rFonts w:asciiTheme="minorHAnsi" w:hAnsiTheme="minorHAnsi" w:cstheme="minorHAnsi"/>
        </w:rPr>
      </w:pPr>
      <w:r w:rsidRPr="0035764F">
        <w:rPr>
          <w:rFonts w:asciiTheme="minorHAnsi" w:hAnsiTheme="minorHAnsi" w:cstheme="minorHAnsi"/>
        </w:rPr>
        <w:t>A study by global analytics firm </w:t>
      </w:r>
      <w:hyperlink r:id="rId25" w:history="1">
        <w:r w:rsidRPr="00E46540">
          <w:rPr>
            <w:rStyle w:val="Hyperlink"/>
            <w:rFonts w:asciiTheme="minorHAnsi" w:hAnsiTheme="minorHAnsi" w:cstheme="minorHAnsi"/>
            <w:color w:val="075EDB" w:themeColor="accent2"/>
            <w:u w:val="none"/>
            <w:bdr w:val="none" w:sz="0" w:space="0" w:color="auto" w:frame="1"/>
          </w:rPr>
          <w:t>Gallup</w:t>
        </w:r>
        <w:r w:rsidRPr="0035764F">
          <w:rPr>
            <w:rStyle w:val="Hyperlink"/>
            <w:rFonts w:asciiTheme="minorHAnsi" w:hAnsiTheme="minorHAnsi" w:cstheme="minorHAnsi"/>
            <w:b/>
            <w:bCs/>
            <w:color w:val="auto"/>
            <w:bdr w:val="none" w:sz="0" w:space="0" w:color="auto" w:frame="1"/>
          </w:rPr>
          <w:t> </w:t>
        </w:r>
      </w:hyperlink>
      <w:r w:rsidRPr="0035764F">
        <w:rPr>
          <w:rFonts w:asciiTheme="minorHAnsi" w:hAnsiTheme="minorHAnsi" w:cstheme="minorHAnsi"/>
        </w:rPr>
        <w:t>found that 71% of workers consider a company’s environmental record when deciding on an employer.</w:t>
      </w:r>
    </w:p>
    <w:p w14:paraId="4F9F283F" w14:textId="0F8D9F0D" w:rsidR="00E379EE" w:rsidRPr="0035764F" w:rsidRDefault="00A03BD7" w:rsidP="00246EE3">
      <w:pPr>
        <w:numPr>
          <w:ilvl w:val="0"/>
          <w:numId w:val="23"/>
        </w:numPr>
        <w:spacing w:after="0" w:line="240" w:lineRule="auto"/>
        <w:ind w:left="426" w:hanging="357"/>
        <w:textAlignment w:val="baseline"/>
        <w:rPr>
          <w:rFonts w:asciiTheme="minorHAnsi" w:hAnsiTheme="minorHAnsi" w:cstheme="minorHAnsi"/>
        </w:rPr>
      </w:pPr>
      <w:r>
        <w:rPr>
          <w:rFonts w:asciiTheme="minorHAnsi" w:hAnsiTheme="minorHAnsi" w:cstheme="minorHAnsi"/>
        </w:rPr>
        <w:t>A Deloitte report found n</w:t>
      </w:r>
      <w:r w:rsidR="00E379EE" w:rsidRPr="0035764F">
        <w:rPr>
          <w:rFonts w:asciiTheme="minorHAnsi" w:hAnsiTheme="minorHAnsi" w:cstheme="minorHAnsi"/>
        </w:rPr>
        <w:t>early </w:t>
      </w:r>
      <w:hyperlink r:id="rId26" w:history="1">
        <w:r w:rsidR="00E379EE" w:rsidRPr="00E46540">
          <w:rPr>
            <w:rStyle w:val="Hyperlink"/>
            <w:rFonts w:asciiTheme="minorHAnsi" w:hAnsiTheme="minorHAnsi" w:cstheme="minorHAnsi"/>
            <w:color w:val="075EDB" w:themeColor="accent2"/>
            <w:u w:val="none"/>
            <w:bdr w:val="none" w:sz="0" w:space="0" w:color="auto" w:frame="1"/>
          </w:rPr>
          <w:t>two in five</w:t>
        </w:r>
      </w:hyperlink>
      <w:r w:rsidR="00E379EE" w:rsidRPr="0035764F">
        <w:rPr>
          <w:rFonts w:asciiTheme="minorHAnsi" w:hAnsiTheme="minorHAnsi" w:cstheme="minorHAnsi"/>
        </w:rPr>
        <w:t> (37% of Gen Zs and 36% of Millennials) say they have rejected a job based on their personal ethics. </w:t>
      </w:r>
      <w:r w:rsidR="00C153F7" w:rsidRPr="0035764F">
        <w:rPr>
          <w:rFonts w:asciiTheme="minorHAnsi" w:hAnsiTheme="minorHAnsi" w:cstheme="minorHAnsi"/>
        </w:rPr>
        <w:t>Nearly </w:t>
      </w:r>
      <w:hyperlink r:id="rId27" w:history="1">
        <w:r w:rsidR="00C153F7" w:rsidRPr="00E46540">
          <w:rPr>
            <w:rStyle w:val="Hyperlink"/>
            <w:rFonts w:asciiTheme="minorHAnsi" w:hAnsiTheme="minorHAnsi" w:cstheme="minorHAnsi"/>
            <w:color w:val="075EDB" w:themeColor="accent2"/>
            <w:u w:val="none"/>
            <w:bdr w:val="none" w:sz="0" w:space="0" w:color="auto" w:frame="1"/>
          </w:rPr>
          <w:t>40% of</w:t>
        </w:r>
        <w:r w:rsidR="00C153F7" w:rsidRPr="00E46540">
          <w:rPr>
            <w:rStyle w:val="Hyperlink"/>
            <w:rFonts w:asciiTheme="minorHAnsi" w:hAnsiTheme="minorHAnsi" w:cstheme="minorHAnsi"/>
            <w:b/>
            <w:bCs/>
            <w:color w:val="075EDB" w:themeColor="accent2"/>
            <w:bdr w:val="none" w:sz="0" w:space="0" w:color="auto" w:frame="1"/>
          </w:rPr>
          <w:t xml:space="preserve"> </w:t>
        </w:r>
        <w:r w:rsidR="00C153F7" w:rsidRPr="00E46540">
          <w:rPr>
            <w:rStyle w:val="Hyperlink"/>
            <w:rFonts w:asciiTheme="minorHAnsi" w:hAnsiTheme="minorHAnsi" w:cstheme="minorHAnsi"/>
            <w:color w:val="075EDB" w:themeColor="accent2"/>
            <w:u w:val="none"/>
            <w:bdr w:val="none" w:sz="0" w:space="0" w:color="auto" w:frame="1"/>
          </w:rPr>
          <w:t>Millennials</w:t>
        </w:r>
      </w:hyperlink>
      <w:r w:rsidR="00C153F7" w:rsidRPr="0035764F">
        <w:rPr>
          <w:rFonts w:asciiTheme="minorHAnsi" w:hAnsiTheme="minorHAnsi" w:cstheme="minorHAnsi"/>
        </w:rPr>
        <w:t> have accepted one job offer over another because that company was sustainable.</w:t>
      </w:r>
    </w:p>
    <w:p w14:paraId="27D7E768" w14:textId="5371CAC0" w:rsidR="00E379EE" w:rsidRPr="0035764F" w:rsidRDefault="00E379EE" w:rsidP="00246EE3">
      <w:pPr>
        <w:numPr>
          <w:ilvl w:val="0"/>
          <w:numId w:val="23"/>
        </w:numPr>
        <w:spacing w:after="0" w:line="240" w:lineRule="auto"/>
        <w:ind w:left="426" w:hanging="357"/>
        <w:textAlignment w:val="baseline"/>
        <w:rPr>
          <w:rFonts w:asciiTheme="minorHAnsi" w:hAnsiTheme="minorHAnsi" w:cstheme="minorHAnsi"/>
        </w:rPr>
      </w:pPr>
      <w:r w:rsidRPr="0035764F">
        <w:rPr>
          <w:rFonts w:asciiTheme="minorHAnsi" w:hAnsiTheme="minorHAnsi" w:cstheme="minorHAnsi"/>
        </w:rPr>
        <w:t>According to the</w:t>
      </w:r>
      <w:r w:rsidRPr="00C814A0">
        <w:rPr>
          <w:rFonts w:asciiTheme="minorHAnsi" w:hAnsiTheme="minorHAnsi" w:cstheme="minorHAnsi"/>
          <w:color w:val="075EDB" w:themeColor="accent2"/>
        </w:rPr>
        <w:t> </w:t>
      </w:r>
      <w:hyperlink r:id="rId28" w:history="1">
        <w:r w:rsidR="00C814A0" w:rsidRPr="00C814A0">
          <w:rPr>
            <w:rStyle w:val="Hyperlink"/>
            <w:rFonts w:asciiTheme="minorHAnsi" w:hAnsiTheme="minorHAnsi" w:cstheme="minorHAnsi"/>
            <w:color w:val="075EDB" w:themeColor="accent2"/>
            <w:u w:val="none"/>
            <w:bdr w:val="none" w:sz="0" w:space="0" w:color="auto" w:frame="1"/>
          </w:rPr>
          <w:t>Deloitte</w:t>
        </w:r>
        <w:r w:rsidRPr="00C814A0">
          <w:rPr>
            <w:rStyle w:val="Hyperlink"/>
            <w:rFonts w:asciiTheme="minorHAnsi" w:hAnsiTheme="minorHAnsi" w:cstheme="minorHAnsi"/>
            <w:color w:val="075EDB" w:themeColor="accent2"/>
            <w:u w:val="none"/>
            <w:bdr w:val="none" w:sz="0" w:space="0" w:color="auto" w:frame="1"/>
          </w:rPr>
          <w:t xml:space="preserve"> report</w:t>
        </w:r>
      </w:hyperlink>
      <w:r w:rsidRPr="0035764F">
        <w:rPr>
          <w:rFonts w:asciiTheme="minorHAnsi" w:hAnsiTheme="minorHAnsi" w:cstheme="minorHAnsi"/>
        </w:rPr>
        <w:t>, those who are satisfied with their employers’ societal and environmental impact are more likely to want to stay with their employer for more than five years.</w:t>
      </w:r>
    </w:p>
    <w:p w14:paraId="30D49188" w14:textId="2F9A2133" w:rsidR="00880224" w:rsidRPr="00D8771B" w:rsidRDefault="00880224" w:rsidP="0067203C">
      <w:pPr>
        <w:spacing w:after="0" w:line="240" w:lineRule="auto"/>
        <w:textAlignment w:val="center"/>
        <w:rPr>
          <w:rFonts w:eastAsia="Times New Roman" w:cs="Arial"/>
          <w:color w:val="FF0000"/>
          <w:lang w:eastAsia="en-GB"/>
        </w:rPr>
      </w:pPr>
    </w:p>
    <w:p w14:paraId="126D4D55" w14:textId="08349B7B" w:rsidR="00BC19D9" w:rsidRDefault="00BC19D9" w:rsidP="00BC19D9">
      <w:pPr>
        <w:pStyle w:val="Subtitle"/>
      </w:pPr>
      <w:r>
        <w:t xml:space="preserve">3.4 </w:t>
      </w:r>
      <w:r w:rsidR="008D7F47" w:rsidRPr="008D7F47">
        <w:t>Resilience to climate impacts</w:t>
      </w:r>
    </w:p>
    <w:p w14:paraId="25E1392F" w14:textId="0B6C1F27" w:rsidR="00665A89" w:rsidRDefault="008D7F47" w:rsidP="0067203C">
      <w:pPr>
        <w:spacing w:after="0" w:line="240" w:lineRule="auto"/>
        <w:textAlignment w:val="center"/>
        <w:rPr>
          <w:rFonts w:eastAsia="Times New Roman" w:cs="Arial"/>
          <w:lang w:eastAsia="en-GB"/>
        </w:rPr>
      </w:pPr>
      <w:r>
        <w:rPr>
          <w:rFonts w:eastAsia="Times New Roman" w:cs="Arial"/>
          <w:lang w:eastAsia="en-GB"/>
        </w:rPr>
        <w:t>W</w:t>
      </w:r>
      <w:r w:rsidR="0016458C">
        <w:rPr>
          <w:rFonts w:eastAsia="Times New Roman" w:cs="Arial"/>
          <w:lang w:eastAsia="en-GB"/>
        </w:rPr>
        <w:t xml:space="preserve">e are already seeing </w:t>
      </w:r>
      <w:r w:rsidR="00DC68CA">
        <w:rPr>
          <w:rFonts w:eastAsia="Times New Roman" w:cs="Arial"/>
          <w:lang w:eastAsia="en-GB"/>
        </w:rPr>
        <w:t xml:space="preserve">impacts of climate breakdown including </w:t>
      </w:r>
      <w:r w:rsidR="0016458C">
        <w:rPr>
          <w:rFonts w:eastAsia="Times New Roman" w:cs="Arial"/>
          <w:lang w:eastAsia="en-GB"/>
        </w:rPr>
        <w:t>increased extreme weather events</w:t>
      </w:r>
      <w:r w:rsidR="00435C0F">
        <w:rPr>
          <w:rFonts w:eastAsia="Times New Roman" w:cs="Arial"/>
          <w:lang w:eastAsia="en-GB"/>
        </w:rPr>
        <w:t xml:space="preserve"> such as heat waves and flooding</w:t>
      </w:r>
      <w:r w:rsidR="00DC68CA">
        <w:rPr>
          <w:rFonts w:eastAsia="Times New Roman" w:cs="Arial"/>
          <w:lang w:eastAsia="en-GB"/>
        </w:rPr>
        <w:t xml:space="preserve">. These impacts </w:t>
      </w:r>
      <w:r w:rsidR="00AD29E0">
        <w:rPr>
          <w:rFonts w:eastAsia="Times New Roman" w:cs="Arial"/>
          <w:lang w:eastAsia="en-GB"/>
        </w:rPr>
        <w:t xml:space="preserve">adversely </w:t>
      </w:r>
      <w:r w:rsidR="00266741">
        <w:rPr>
          <w:rFonts w:eastAsia="Times New Roman" w:cs="Arial"/>
          <w:lang w:eastAsia="en-GB"/>
        </w:rPr>
        <w:t>affect</w:t>
      </w:r>
      <w:r w:rsidR="007B0A21">
        <w:rPr>
          <w:rFonts w:eastAsia="Times New Roman" w:cs="Arial"/>
          <w:lang w:eastAsia="en-GB"/>
        </w:rPr>
        <w:t xml:space="preserve"> most</w:t>
      </w:r>
      <w:r w:rsidR="00266741">
        <w:rPr>
          <w:rFonts w:eastAsia="Times New Roman" w:cs="Arial"/>
          <w:lang w:eastAsia="en-GB"/>
        </w:rPr>
        <w:t xml:space="preserve"> those least able to </w:t>
      </w:r>
      <w:r w:rsidR="00DA3416">
        <w:rPr>
          <w:rFonts w:eastAsia="Times New Roman" w:cs="Arial"/>
          <w:lang w:eastAsia="en-GB"/>
        </w:rPr>
        <w:t xml:space="preserve">cope </w:t>
      </w:r>
      <w:r w:rsidR="00AD29E0">
        <w:rPr>
          <w:rFonts w:eastAsia="Times New Roman" w:cs="Arial"/>
          <w:lang w:eastAsia="en-GB"/>
        </w:rPr>
        <w:t>exacerbat</w:t>
      </w:r>
      <w:r w:rsidR="00DA3416">
        <w:rPr>
          <w:rFonts w:eastAsia="Times New Roman" w:cs="Arial"/>
          <w:lang w:eastAsia="en-GB"/>
        </w:rPr>
        <w:t>ing</w:t>
      </w:r>
      <w:r w:rsidR="00AD29E0">
        <w:rPr>
          <w:rFonts w:eastAsia="Times New Roman" w:cs="Arial"/>
          <w:lang w:eastAsia="en-GB"/>
        </w:rPr>
        <w:t xml:space="preserve"> health inequalities</w:t>
      </w:r>
      <w:r w:rsidR="00DA3416">
        <w:rPr>
          <w:rFonts w:eastAsia="Times New Roman" w:cs="Arial"/>
          <w:lang w:eastAsia="en-GB"/>
        </w:rPr>
        <w:t xml:space="preserve">. </w:t>
      </w:r>
      <w:r w:rsidR="00AD29E0">
        <w:rPr>
          <w:rFonts w:eastAsia="Times New Roman" w:cs="Arial"/>
          <w:lang w:eastAsia="en-GB"/>
        </w:rPr>
        <w:t xml:space="preserve"> </w:t>
      </w:r>
      <w:r w:rsidR="00DD04B4">
        <w:rPr>
          <w:rFonts w:eastAsia="Times New Roman" w:cs="Arial"/>
          <w:lang w:eastAsia="en-GB"/>
        </w:rPr>
        <w:t xml:space="preserve">Whilst our focus has been on mitigating climate change it is essential that we build resilience in </w:t>
      </w:r>
      <w:r w:rsidR="00C93370">
        <w:rPr>
          <w:rFonts w:eastAsia="Times New Roman" w:cs="Arial"/>
          <w:lang w:eastAsia="en-GB"/>
        </w:rPr>
        <w:t xml:space="preserve">our organisations and our communities to ensure we are able to continue to deliver our services and minimise the impacts </w:t>
      </w:r>
      <w:r w:rsidR="00F300F7">
        <w:rPr>
          <w:rFonts w:eastAsia="Times New Roman" w:cs="Arial"/>
          <w:lang w:eastAsia="en-GB"/>
        </w:rPr>
        <w:t>on our communities.</w:t>
      </w:r>
      <w:r w:rsidR="00DD04B4">
        <w:rPr>
          <w:rFonts w:eastAsia="Times New Roman" w:cs="Arial"/>
          <w:lang w:eastAsia="en-GB"/>
        </w:rPr>
        <w:t xml:space="preserve"> </w:t>
      </w:r>
    </w:p>
    <w:p w14:paraId="1EE0AF61" w14:textId="77777777" w:rsidR="00665A89" w:rsidRDefault="00665A89" w:rsidP="0067203C">
      <w:pPr>
        <w:spacing w:after="0" w:line="240" w:lineRule="auto"/>
        <w:textAlignment w:val="center"/>
        <w:rPr>
          <w:rFonts w:eastAsia="Times New Roman" w:cs="Arial"/>
          <w:lang w:eastAsia="en-GB"/>
        </w:rPr>
      </w:pPr>
    </w:p>
    <w:p w14:paraId="3468596A" w14:textId="5E69FC66" w:rsidR="00665A89" w:rsidRDefault="00665A89" w:rsidP="0067203C">
      <w:pPr>
        <w:spacing w:after="0" w:line="240" w:lineRule="auto"/>
        <w:textAlignment w:val="center"/>
        <w:rPr>
          <w:rFonts w:eastAsia="Times New Roman" w:cs="Arial"/>
          <w:lang w:eastAsia="en-GB"/>
        </w:rPr>
      </w:pPr>
      <w:r>
        <w:rPr>
          <w:rFonts w:eastAsia="Times New Roman" w:cs="Arial"/>
          <w:lang w:eastAsia="en-GB"/>
        </w:rPr>
        <w:t xml:space="preserve">We have a system-wide climate adaptation </w:t>
      </w:r>
      <w:r w:rsidR="00424BDC">
        <w:rPr>
          <w:rFonts w:eastAsia="Times New Roman" w:cs="Arial"/>
          <w:lang w:eastAsia="en-GB"/>
        </w:rPr>
        <w:t>strategy</w:t>
      </w:r>
      <w:r>
        <w:rPr>
          <w:rFonts w:eastAsia="Times New Roman" w:cs="Arial"/>
          <w:lang w:eastAsia="en-GB"/>
        </w:rPr>
        <w:t xml:space="preserve"> </w:t>
      </w:r>
      <w:r w:rsidR="007E6550">
        <w:rPr>
          <w:rFonts w:eastAsia="Times New Roman" w:cs="Arial"/>
          <w:lang w:eastAsia="en-GB"/>
        </w:rPr>
        <w:t xml:space="preserve">and have </w:t>
      </w:r>
      <w:r w:rsidR="00271888">
        <w:rPr>
          <w:rFonts w:eastAsia="Times New Roman" w:cs="Arial"/>
          <w:lang w:eastAsia="en-GB"/>
        </w:rPr>
        <w:t xml:space="preserve">engaged with </w:t>
      </w:r>
      <w:r w:rsidR="006E4385">
        <w:rPr>
          <w:rFonts w:eastAsia="Times New Roman" w:cs="Arial"/>
          <w:lang w:eastAsia="en-GB"/>
        </w:rPr>
        <w:t xml:space="preserve">some groups such as emergency planning </w:t>
      </w:r>
      <w:r>
        <w:rPr>
          <w:rFonts w:eastAsia="Times New Roman" w:cs="Arial"/>
          <w:lang w:eastAsia="en-GB"/>
        </w:rPr>
        <w:t xml:space="preserve">but </w:t>
      </w:r>
      <w:r w:rsidR="006E4385">
        <w:rPr>
          <w:rFonts w:eastAsia="Times New Roman" w:cs="Arial"/>
          <w:lang w:eastAsia="en-GB"/>
        </w:rPr>
        <w:t xml:space="preserve">will </w:t>
      </w:r>
      <w:r>
        <w:rPr>
          <w:rFonts w:eastAsia="Times New Roman" w:cs="Arial"/>
          <w:lang w:eastAsia="en-GB"/>
        </w:rPr>
        <w:t xml:space="preserve">need to </w:t>
      </w:r>
      <w:r w:rsidR="00424BDC">
        <w:rPr>
          <w:rFonts w:eastAsia="Times New Roman" w:cs="Arial"/>
          <w:lang w:eastAsia="en-GB"/>
        </w:rPr>
        <w:t xml:space="preserve">work with partners across the ICP to develop the actions to </w:t>
      </w:r>
      <w:r w:rsidR="00874B48">
        <w:rPr>
          <w:rFonts w:eastAsia="Times New Roman" w:cs="Arial"/>
          <w:lang w:eastAsia="en-GB"/>
        </w:rPr>
        <w:t xml:space="preserve">deliver our </w:t>
      </w:r>
      <w:r w:rsidR="007E6550">
        <w:rPr>
          <w:rFonts w:eastAsia="Times New Roman" w:cs="Arial"/>
          <w:lang w:eastAsia="en-GB"/>
        </w:rPr>
        <w:t>target that r</w:t>
      </w:r>
      <w:r w:rsidR="00874B48" w:rsidRPr="00874B48">
        <w:rPr>
          <w:rFonts w:eastAsia="Times New Roman" w:cs="Arial"/>
          <w:lang w:eastAsia="en-GB"/>
        </w:rPr>
        <w:t>isk assessment</w:t>
      </w:r>
      <w:r w:rsidR="007E6550">
        <w:rPr>
          <w:rFonts w:eastAsia="Times New Roman" w:cs="Arial"/>
          <w:lang w:eastAsia="en-GB"/>
        </w:rPr>
        <w:t>s</w:t>
      </w:r>
      <w:r w:rsidR="00874B48" w:rsidRPr="00874B48">
        <w:rPr>
          <w:rFonts w:eastAsia="Times New Roman" w:cs="Arial"/>
          <w:lang w:eastAsia="en-GB"/>
        </w:rPr>
        <w:t xml:space="preserve"> show</w:t>
      </w:r>
      <w:r w:rsidR="007E6550">
        <w:rPr>
          <w:rFonts w:eastAsia="Times New Roman" w:cs="Arial"/>
          <w:lang w:eastAsia="en-GB"/>
        </w:rPr>
        <w:t xml:space="preserve"> our </w:t>
      </w:r>
      <w:r w:rsidR="00874B48" w:rsidRPr="00874B48">
        <w:rPr>
          <w:rFonts w:eastAsia="Times New Roman" w:cs="Arial"/>
          <w:lang w:eastAsia="en-GB"/>
        </w:rPr>
        <w:t>organisations are resilient to effects of climate change by March 2027</w:t>
      </w:r>
    </w:p>
    <w:p w14:paraId="657992DC" w14:textId="77777777" w:rsidR="00665A89" w:rsidRDefault="00665A89" w:rsidP="0067203C">
      <w:pPr>
        <w:spacing w:after="0" w:line="240" w:lineRule="auto"/>
        <w:textAlignment w:val="center"/>
        <w:rPr>
          <w:rFonts w:eastAsia="Times New Roman" w:cs="Arial"/>
          <w:lang w:eastAsia="en-GB"/>
        </w:rPr>
      </w:pPr>
    </w:p>
    <w:p w14:paraId="29D10DCE" w14:textId="77777777" w:rsidR="002C2C1F" w:rsidRDefault="002C2C1F" w:rsidP="006616E9"/>
    <w:p w14:paraId="69F60354" w14:textId="7ABFDED8" w:rsidR="00366468" w:rsidRPr="002C2C1F" w:rsidRDefault="002C2C1F" w:rsidP="002C2C1F">
      <w:pPr>
        <w:pStyle w:val="Heading1"/>
        <w:rPr>
          <w:sz w:val="28"/>
          <w:szCs w:val="28"/>
        </w:rPr>
      </w:pPr>
      <w:r w:rsidRPr="002C2C1F">
        <w:rPr>
          <w:sz w:val="28"/>
          <w:szCs w:val="28"/>
        </w:rPr>
        <w:t xml:space="preserve">4. </w:t>
      </w:r>
      <w:r w:rsidR="00C822A9">
        <w:rPr>
          <w:sz w:val="28"/>
          <w:szCs w:val="28"/>
        </w:rPr>
        <w:t>Recommendations</w:t>
      </w:r>
      <w:r w:rsidR="00366468" w:rsidRPr="002C2C1F">
        <w:rPr>
          <w:sz w:val="28"/>
          <w:szCs w:val="28"/>
        </w:rPr>
        <w:t xml:space="preserve"> </w:t>
      </w:r>
    </w:p>
    <w:p w14:paraId="2C8F69E0" w14:textId="42638FC6" w:rsidR="006808B6" w:rsidRPr="006808B6" w:rsidRDefault="0062745B" w:rsidP="00444000">
      <w:pPr>
        <w:pStyle w:val="ListParagraph"/>
        <w:numPr>
          <w:ilvl w:val="0"/>
          <w:numId w:val="17"/>
        </w:numPr>
        <w:rPr>
          <w:b/>
          <w:bCs/>
          <w:szCs w:val="24"/>
        </w:rPr>
      </w:pPr>
      <w:r>
        <w:rPr>
          <w:szCs w:val="24"/>
        </w:rPr>
        <w:t xml:space="preserve">Note that delivery is dependent on being fully funded, this is principally related to energy and </w:t>
      </w:r>
      <w:proofErr w:type="gramStart"/>
      <w:r>
        <w:rPr>
          <w:szCs w:val="24"/>
        </w:rPr>
        <w:t>buildings</w:t>
      </w:r>
      <w:proofErr w:type="gramEnd"/>
    </w:p>
    <w:p w14:paraId="5870998B" w14:textId="221B52DC" w:rsidR="00444000" w:rsidRPr="00C822A9" w:rsidRDefault="00444000" w:rsidP="00444000">
      <w:pPr>
        <w:pStyle w:val="ListParagraph"/>
        <w:numPr>
          <w:ilvl w:val="0"/>
          <w:numId w:val="17"/>
        </w:numPr>
        <w:rPr>
          <w:b/>
          <w:bCs/>
          <w:szCs w:val="24"/>
        </w:rPr>
      </w:pPr>
      <w:r w:rsidRPr="00C822A9">
        <w:rPr>
          <w:szCs w:val="24"/>
        </w:rPr>
        <w:lastRenderedPageBreak/>
        <w:t xml:space="preserve">Pursue a compliant 3rd party off balance funding solution to deliver £196m of </w:t>
      </w:r>
      <w:r w:rsidR="00943B61">
        <w:rPr>
          <w:szCs w:val="24"/>
        </w:rPr>
        <w:t xml:space="preserve">energy </w:t>
      </w:r>
      <w:r w:rsidRPr="00C822A9">
        <w:rPr>
          <w:szCs w:val="24"/>
        </w:rPr>
        <w:t xml:space="preserve">decarbonisation </w:t>
      </w:r>
      <w:proofErr w:type="gramStart"/>
      <w:r w:rsidRPr="00C822A9">
        <w:rPr>
          <w:szCs w:val="24"/>
        </w:rPr>
        <w:t>projects</w:t>
      </w:r>
      <w:proofErr w:type="gramEnd"/>
      <w:r w:rsidRPr="00C822A9">
        <w:rPr>
          <w:szCs w:val="24"/>
        </w:rPr>
        <w:t xml:space="preserve"> </w:t>
      </w:r>
    </w:p>
    <w:p w14:paraId="72BF4A3A" w14:textId="77777777" w:rsidR="00444000" w:rsidRPr="00C822A9" w:rsidRDefault="00444000" w:rsidP="00444000">
      <w:pPr>
        <w:pStyle w:val="ListParagraph"/>
        <w:numPr>
          <w:ilvl w:val="0"/>
          <w:numId w:val="17"/>
        </w:numPr>
        <w:rPr>
          <w:szCs w:val="24"/>
        </w:rPr>
      </w:pPr>
      <w:r w:rsidRPr="00C822A9">
        <w:rPr>
          <w:szCs w:val="24"/>
        </w:rPr>
        <w:t xml:space="preserve">All organisations introduce use of Sustainability Impact Assessment into business cases and decision </w:t>
      </w:r>
      <w:proofErr w:type="gramStart"/>
      <w:r w:rsidRPr="00C822A9">
        <w:rPr>
          <w:szCs w:val="24"/>
        </w:rPr>
        <w:t>making</w:t>
      </w:r>
      <w:proofErr w:type="gramEnd"/>
      <w:r w:rsidRPr="00C822A9">
        <w:rPr>
          <w:szCs w:val="24"/>
        </w:rPr>
        <w:t xml:space="preserve"> </w:t>
      </w:r>
    </w:p>
    <w:p w14:paraId="2F8F8004" w14:textId="77777777" w:rsidR="00444000" w:rsidRPr="00C822A9" w:rsidRDefault="00444000" w:rsidP="00444000">
      <w:pPr>
        <w:pStyle w:val="ListParagraph"/>
        <w:numPr>
          <w:ilvl w:val="0"/>
          <w:numId w:val="17"/>
        </w:numPr>
        <w:rPr>
          <w:szCs w:val="24"/>
        </w:rPr>
      </w:pPr>
      <w:r w:rsidRPr="00C822A9">
        <w:rPr>
          <w:szCs w:val="24"/>
        </w:rPr>
        <w:t xml:space="preserve">Expedite new waste contracts for hospitals to enable waste </w:t>
      </w:r>
      <w:proofErr w:type="gramStart"/>
      <w:r w:rsidRPr="00C822A9">
        <w:rPr>
          <w:szCs w:val="24"/>
        </w:rPr>
        <w:t>reduction</w:t>
      </w:r>
      <w:proofErr w:type="gramEnd"/>
    </w:p>
    <w:p w14:paraId="2F2EF77D" w14:textId="77777777" w:rsidR="00444000" w:rsidRPr="00C822A9" w:rsidRDefault="00444000" w:rsidP="00444000">
      <w:pPr>
        <w:pStyle w:val="ListParagraph"/>
        <w:numPr>
          <w:ilvl w:val="0"/>
          <w:numId w:val="17"/>
        </w:numPr>
        <w:rPr>
          <w:szCs w:val="24"/>
        </w:rPr>
      </w:pPr>
      <w:r w:rsidRPr="00C822A9">
        <w:rPr>
          <w:szCs w:val="24"/>
        </w:rPr>
        <w:t xml:space="preserve">Develop partnerships to optimise transport across our system and improve travel options in our </w:t>
      </w:r>
      <w:proofErr w:type="gramStart"/>
      <w:r w:rsidRPr="00C822A9">
        <w:rPr>
          <w:szCs w:val="24"/>
        </w:rPr>
        <w:t>region</w:t>
      </w:r>
      <w:proofErr w:type="gramEnd"/>
    </w:p>
    <w:p w14:paraId="37D94EAD" w14:textId="77777777" w:rsidR="00444000" w:rsidRPr="00C822A9" w:rsidRDefault="00444000" w:rsidP="00444000">
      <w:pPr>
        <w:pStyle w:val="ListParagraph"/>
        <w:numPr>
          <w:ilvl w:val="0"/>
          <w:numId w:val="17"/>
        </w:numPr>
        <w:rPr>
          <w:szCs w:val="24"/>
        </w:rPr>
      </w:pPr>
      <w:r w:rsidRPr="00C822A9">
        <w:rPr>
          <w:szCs w:val="24"/>
        </w:rPr>
        <w:t>Expand existing medicines optimisation and i</w:t>
      </w:r>
      <w:r w:rsidRPr="00C822A9">
        <w:rPr>
          <w:rFonts w:cs="Arial"/>
          <w:szCs w:val="24"/>
        </w:rPr>
        <w:t xml:space="preserve">dentify a pipeline of future </w:t>
      </w:r>
      <w:r w:rsidRPr="00C822A9">
        <w:rPr>
          <w:szCs w:val="24"/>
        </w:rPr>
        <w:t xml:space="preserve">net zero </w:t>
      </w:r>
      <w:proofErr w:type="gramStart"/>
      <w:r w:rsidRPr="00C822A9">
        <w:rPr>
          <w:rFonts w:cs="Arial"/>
          <w:szCs w:val="24"/>
        </w:rPr>
        <w:t>opportunities</w:t>
      </w:r>
      <w:proofErr w:type="gramEnd"/>
    </w:p>
    <w:p w14:paraId="26AC1BA4" w14:textId="77777777" w:rsidR="00444000" w:rsidRPr="00C822A9" w:rsidRDefault="00444000" w:rsidP="00444000">
      <w:pPr>
        <w:pStyle w:val="ListParagraph"/>
        <w:numPr>
          <w:ilvl w:val="0"/>
          <w:numId w:val="17"/>
        </w:numPr>
        <w:rPr>
          <w:szCs w:val="24"/>
        </w:rPr>
      </w:pPr>
      <w:r w:rsidRPr="00C822A9">
        <w:rPr>
          <w:szCs w:val="24"/>
        </w:rPr>
        <w:t xml:space="preserve">Develop a non-spend based measure of supply chain carbon footprint. Embed national requirements for carbon reduction plans and social value in procurement </w:t>
      </w:r>
      <w:proofErr w:type="gramStart"/>
      <w:r w:rsidRPr="00C822A9">
        <w:rPr>
          <w:szCs w:val="24"/>
        </w:rPr>
        <w:t>processes</w:t>
      </w:r>
      <w:proofErr w:type="gramEnd"/>
      <w:r w:rsidRPr="00C822A9">
        <w:rPr>
          <w:szCs w:val="24"/>
        </w:rPr>
        <w:t xml:space="preserve"> </w:t>
      </w:r>
    </w:p>
    <w:p w14:paraId="33AD1F6C" w14:textId="77777777" w:rsidR="00444000" w:rsidRPr="00C822A9" w:rsidRDefault="00444000" w:rsidP="00444000">
      <w:pPr>
        <w:pStyle w:val="ListParagraph"/>
        <w:numPr>
          <w:ilvl w:val="0"/>
          <w:numId w:val="17"/>
        </w:numPr>
        <w:rPr>
          <w:szCs w:val="24"/>
        </w:rPr>
      </w:pPr>
      <w:r w:rsidRPr="00C822A9">
        <w:rPr>
          <w:szCs w:val="24"/>
        </w:rPr>
        <w:t>Sustainable healthcare –</w:t>
      </w:r>
      <w:r w:rsidRPr="00C822A9">
        <w:rPr>
          <w:rFonts w:asciiTheme="minorHAnsi" w:hAnsiTheme="minorHAnsi" w:cstheme="minorHAnsi"/>
          <w:szCs w:val="24"/>
        </w:rPr>
        <w:t xml:space="preserve"> Focus investment on primary and community services to support people to take care of their health, intervening early and keeping people healthy at home and out of high carbon healthcare for as long as </w:t>
      </w:r>
      <w:proofErr w:type="gramStart"/>
      <w:r w:rsidRPr="00C822A9">
        <w:rPr>
          <w:rFonts w:asciiTheme="minorHAnsi" w:hAnsiTheme="minorHAnsi" w:cstheme="minorHAnsi"/>
          <w:szCs w:val="24"/>
        </w:rPr>
        <w:t>possible</w:t>
      </w:r>
      <w:proofErr w:type="gramEnd"/>
      <w:r w:rsidRPr="00C822A9">
        <w:rPr>
          <w:rFonts w:asciiTheme="minorHAnsi" w:hAnsiTheme="minorHAnsi" w:cstheme="minorHAnsi"/>
          <w:szCs w:val="24"/>
        </w:rPr>
        <w:t xml:space="preserve"> </w:t>
      </w:r>
    </w:p>
    <w:p w14:paraId="6E609C1A" w14:textId="5060B80D" w:rsidR="00444000" w:rsidRPr="00C822A9" w:rsidRDefault="00444000" w:rsidP="009114D9">
      <w:pPr>
        <w:pStyle w:val="BodyText1"/>
      </w:pPr>
      <w:r w:rsidRPr="00C822A9">
        <w:rPr>
          <w:color w:val="auto"/>
          <w:lang w:eastAsia="en-US"/>
        </w:rPr>
        <w:t>To approve:</w:t>
      </w:r>
      <w:r w:rsidR="009114D9">
        <w:rPr>
          <w:color w:val="auto"/>
          <w:lang w:eastAsia="en-US"/>
        </w:rPr>
        <w:t xml:space="preserve"> </w:t>
      </w:r>
      <w:r w:rsidRPr="00C822A9">
        <w:t xml:space="preserve">This report meets requirement for </w:t>
      </w:r>
      <w:proofErr w:type="spellStart"/>
      <w:r w:rsidRPr="00C822A9">
        <w:t>organisations</w:t>
      </w:r>
      <w:proofErr w:type="spellEnd"/>
      <w:r w:rsidRPr="00C822A9">
        <w:t xml:space="preserve"> to report annually on progress with the Green Plan and it is taken to </w:t>
      </w:r>
      <w:proofErr w:type="spellStart"/>
      <w:r w:rsidRPr="00C822A9">
        <w:t>organisation</w:t>
      </w:r>
      <w:proofErr w:type="spellEnd"/>
      <w:r w:rsidRPr="00C822A9">
        <w:t xml:space="preserve"> </w:t>
      </w:r>
      <w:proofErr w:type="gramStart"/>
      <w:r w:rsidRPr="00C822A9">
        <w:t>boards</w:t>
      </w:r>
      <w:proofErr w:type="gramEnd"/>
    </w:p>
    <w:p w14:paraId="49A3BEA4" w14:textId="4927BD1D" w:rsidR="00606DF2" w:rsidRPr="000D485B" w:rsidRDefault="000853E2" w:rsidP="000853E2">
      <w:pPr>
        <w:pStyle w:val="Heading3"/>
        <w:numPr>
          <w:ilvl w:val="0"/>
          <w:numId w:val="0"/>
        </w:numPr>
        <w:ind w:left="142"/>
        <w:rPr>
          <w:rFonts w:eastAsiaTheme="minorHAnsi"/>
        </w:rPr>
      </w:pPr>
      <w:r>
        <w:rPr>
          <w:rFonts w:eastAsiaTheme="minorHAnsi"/>
        </w:rPr>
        <w:t xml:space="preserve">5. </w:t>
      </w:r>
      <w:r w:rsidR="00606DF2" w:rsidRPr="000D485B">
        <w:rPr>
          <w:rFonts w:eastAsiaTheme="minorHAnsi"/>
        </w:rPr>
        <w:t>Financial resource implications</w:t>
      </w:r>
    </w:p>
    <w:p w14:paraId="29D57105" w14:textId="76351959" w:rsidR="00606DF2" w:rsidRDefault="00434082" w:rsidP="00606DF2">
      <w:pPr>
        <w:rPr>
          <w:color w:val="D90000"/>
        </w:rPr>
      </w:pPr>
      <w:r>
        <w:rPr>
          <w:bCs/>
        </w:rPr>
        <w:t>The high</w:t>
      </w:r>
      <w:r w:rsidR="007F4956">
        <w:rPr>
          <w:bCs/>
        </w:rPr>
        <w:t>-</w:t>
      </w:r>
      <w:r>
        <w:rPr>
          <w:bCs/>
        </w:rPr>
        <w:t xml:space="preserve">level financial </w:t>
      </w:r>
      <w:r w:rsidR="00D35766">
        <w:rPr>
          <w:bCs/>
        </w:rPr>
        <w:t>implication is shown in Figure1 as the carbon abatement cost of carbon emissions</w:t>
      </w:r>
      <w:r w:rsidR="007F4956">
        <w:rPr>
          <w:bCs/>
        </w:rPr>
        <w:t xml:space="preserve"> £15</w:t>
      </w:r>
      <w:r w:rsidR="008E1006">
        <w:rPr>
          <w:bCs/>
        </w:rPr>
        <w:t>0</w:t>
      </w:r>
      <w:r w:rsidR="007F4956">
        <w:rPr>
          <w:bCs/>
        </w:rPr>
        <w:t>m</w:t>
      </w:r>
      <w:r w:rsidR="00C0580D">
        <w:rPr>
          <w:bCs/>
        </w:rPr>
        <w:t xml:space="preserve"> per annum</w:t>
      </w:r>
      <w:r w:rsidR="00D35766">
        <w:rPr>
          <w:bCs/>
        </w:rPr>
        <w:t>.</w:t>
      </w:r>
      <w:r w:rsidR="000F156E">
        <w:rPr>
          <w:bCs/>
        </w:rPr>
        <w:t xml:space="preserve"> Decarbonisation costs </w:t>
      </w:r>
      <w:r w:rsidR="00613F7B">
        <w:rPr>
          <w:bCs/>
        </w:rPr>
        <w:t xml:space="preserve">identified </w:t>
      </w:r>
      <w:r w:rsidR="00B966C5">
        <w:rPr>
          <w:bCs/>
        </w:rPr>
        <w:t xml:space="preserve">for NBT, UHBW and NBT </w:t>
      </w:r>
      <w:r w:rsidR="00252A08">
        <w:rPr>
          <w:bCs/>
        </w:rPr>
        <w:t xml:space="preserve">in the ICS capital prioritisation process total </w:t>
      </w:r>
      <w:r w:rsidR="00144171">
        <w:rPr>
          <w:bCs/>
        </w:rPr>
        <w:t>£196m</w:t>
      </w:r>
      <w:r w:rsidR="00AA750F">
        <w:rPr>
          <w:bCs/>
        </w:rPr>
        <w:t>.</w:t>
      </w:r>
      <w:r w:rsidR="00D35766">
        <w:rPr>
          <w:bCs/>
        </w:rPr>
        <w:t xml:space="preserve"> Detail of cost</w:t>
      </w:r>
      <w:r w:rsidR="007F4956">
        <w:rPr>
          <w:bCs/>
        </w:rPr>
        <w:t>s</w:t>
      </w:r>
      <w:r w:rsidR="00D35766">
        <w:rPr>
          <w:bCs/>
        </w:rPr>
        <w:t xml:space="preserve"> for delivering against targets </w:t>
      </w:r>
      <w:r w:rsidR="00986FA0">
        <w:rPr>
          <w:bCs/>
        </w:rPr>
        <w:t>where these have been</w:t>
      </w:r>
      <w:r w:rsidR="00D35766">
        <w:rPr>
          <w:bCs/>
        </w:rPr>
        <w:t xml:space="preserve"> </w:t>
      </w:r>
      <w:r w:rsidR="008924BD">
        <w:rPr>
          <w:bCs/>
        </w:rPr>
        <w:t xml:space="preserve">identified </w:t>
      </w:r>
      <w:r w:rsidR="00986FA0">
        <w:rPr>
          <w:bCs/>
        </w:rPr>
        <w:t>are shown in</w:t>
      </w:r>
      <w:r w:rsidR="00D35766">
        <w:rPr>
          <w:bCs/>
        </w:rPr>
        <w:t xml:space="preserve"> the delivery plan </w:t>
      </w:r>
      <w:r w:rsidR="00986FA0">
        <w:rPr>
          <w:bCs/>
        </w:rPr>
        <w:t>Appendix 1</w:t>
      </w:r>
      <w:r w:rsidR="00606DF2">
        <w:rPr>
          <w:color w:val="D90000"/>
        </w:rPr>
        <w:t>.</w:t>
      </w:r>
    </w:p>
    <w:p w14:paraId="6F7E13A2" w14:textId="2B125C23" w:rsidR="00C7016A" w:rsidRPr="00627B4C" w:rsidRDefault="00C7016A" w:rsidP="00C7016A">
      <w:pPr>
        <w:spacing w:after="0" w:line="240" w:lineRule="auto"/>
        <w:rPr>
          <w:rFonts w:eastAsia="Times New Roman" w:cs="Arial"/>
          <w:szCs w:val="24"/>
          <w:lang w:eastAsia="en-GB"/>
        </w:rPr>
      </w:pPr>
      <w:r w:rsidRPr="00627B4C">
        <w:rPr>
          <w:szCs w:val="24"/>
        </w:rPr>
        <w:t>A key target is to</w:t>
      </w:r>
      <w:r w:rsidR="00627B4C">
        <w:rPr>
          <w:szCs w:val="24"/>
        </w:rPr>
        <w:t xml:space="preserve"> enable sufficient finance is to</w:t>
      </w:r>
      <w:r w:rsidRPr="00627B4C">
        <w:rPr>
          <w:szCs w:val="24"/>
        </w:rPr>
        <w:t xml:space="preserve"> </w:t>
      </w:r>
      <w:r w:rsidR="00450587">
        <w:rPr>
          <w:szCs w:val="24"/>
        </w:rPr>
        <w:t>lobby for</w:t>
      </w:r>
      <w:r w:rsidR="00627B4C">
        <w:rPr>
          <w:szCs w:val="24"/>
        </w:rPr>
        <w:t xml:space="preserve"> a</w:t>
      </w:r>
      <w:r w:rsidRPr="00627B4C">
        <w:rPr>
          <w:szCs w:val="24"/>
        </w:rPr>
        <w:t xml:space="preserve"> </w:t>
      </w:r>
      <w:r w:rsidR="00627B4C">
        <w:rPr>
          <w:rFonts w:eastAsia="Times New Roman" w:cs="Arial"/>
          <w:szCs w:val="24"/>
          <w:lang w:eastAsia="en-GB"/>
        </w:rPr>
        <w:t>c</w:t>
      </w:r>
      <w:r w:rsidRPr="00627B4C">
        <w:rPr>
          <w:rFonts w:eastAsia="Times New Roman" w:cs="Arial"/>
          <w:szCs w:val="24"/>
          <w:lang w:eastAsia="en-GB"/>
        </w:rPr>
        <w:t xml:space="preserve">ompliant off balance sheet funding model for energy decarbonisation that enables 3rd party funding that is approved by </w:t>
      </w:r>
      <w:r w:rsidR="00627B4C" w:rsidRPr="00627B4C">
        <w:rPr>
          <w:rFonts w:eastAsia="Times New Roman" w:cs="Arial"/>
          <w:szCs w:val="24"/>
          <w:lang w:eastAsia="en-GB"/>
        </w:rPr>
        <w:t>CFOs, Auditors, Treasury</w:t>
      </w:r>
      <w:r w:rsidR="007F4956">
        <w:rPr>
          <w:rFonts w:eastAsia="Times New Roman" w:cs="Arial"/>
          <w:szCs w:val="24"/>
          <w:lang w:eastAsia="en-GB"/>
        </w:rPr>
        <w:t xml:space="preserve"> and</w:t>
      </w:r>
      <w:r w:rsidR="00627B4C" w:rsidRPr="00627B4C">
        <w:rPr>
          <w:rFonts w:eastAsia="Times New Roman" w:cs="Arial"/>
          <w:szCs w:val="24"/>
          <w:lang w:eastAsia="en-GB"/>
        </w:rPr>
        <w:t xml:space="preserve"> ONS</w:t>
      </w:r>
      <w:r w:rsidR="007F4956">
        <w:rPr>
          <w:rFonts w:eastAsia="Times New Roman" w:cs="Arial"/>
          <w:szCs w:val="24"/>
          <w:lang w:eastAsia="en-GB"/>
        </w:rPr>
        <w:t>.</w:t>
      </w:r>
    </w:p>
    <w:p w14:paraId="254C87FF" w14:textId="7F9942D7" w:rsidR="00C7016A" w:rsidRPr="00C7016A" w:rsidRDefault="00C7016A" w:rsidP="00606DF2"/>
    <w:p w14:paraId="7C5DA5AE" w14:textId="3E4B3F3D" w:rsidR="00606DF2" w:rsidRPr="000853E2" w:rsidRDefault="00606DF2" w:rsidP="000853E2">
      <w:pPr>
        <w:pStyle w:val="Heading3"/>
        <w:numPr>
          <w:ilvl w:val="0"/>
          <w:numId w:val="16"/>
        </w:numPr>
        <w:spacing w:before="320"/>
        <w:rPr>
          <w:rFonts w:eastAsiaTheme="minorHAnsi"/>
        </w:rPr>
      </w:pPr>
      <w:r w:rsidRPr="000853E2">
        <w:rPr>
          <w:rFonts w:eastAsiaTheme="minorHAnsi"/>
        </w:rPr>
        <w:t>Legal implications</w:t>
      </w:r>
    </w:p>
    <w:p w14:paraId="2AAA13D7" w14:textId="77777777" w:rsidR="00F111B0" w:rsidRDefault="00F111B0" w:rsidP="00F111B0">
      <w:pPr>
        <w:pStyle w:val="NormalWeb"/>
        <w:shd w:val="clear" w:color="auto" w:fill="FFFFFF"/>
        <w:spacing w:before="0" w:beforeAutospacing="0" w:after="0" w:afterAutospacing="0"/>
        <w:textAlignment w:val="baseline"/>
        <w:rPr>
          <w:rFonts w:asciiTheme="minorHAnsi" w:hAnsiTheme="minorHAnsi" w:cstheme="minorHAnsi"/>
          <w:color w:val="202A30"/>
        </w:rPr>
      </w:pPr>
      <w:r w:rsidRPr="00B7196D">
        <w:rPr>
          <w:rFonts w:asciiTheme="minorHAnsi" w:hAnsiTheme="minorHAnsi" w:cstheme="minorHAnsi"/>
          <w:color w:val="202A30"/>
        </w:rPr>
        <w:t>On 1 July 2022, the NHS became the first health system to embed net zero into legislation, through the </w:t>
      </w:r>
      <w:hyperlink r:id="rId29" w:history="1">
        <w:r w:rsidRPr="00B7196D">
          <w:rPr>
            <w:rStyle w:val="Hyperlink"/>
            <w:rFonts w:asciiTheme="minorHAnsi" w:hAnsiTheme="minorHAnsi" w:cstheme="minorHAnsi"/>
            <w:color w:val="003087"/>
            <w:bdr w:val="none" w:sz="0" w:space="0" w:color="auto" w:frame="1"/>
          </w:rPr>
          <w:t>Health and Care Act 2022</w:t>
        </w:r>
      </w:hyperlink>
      <w:r w:rsidRPr="00B7196D">
        <w:rPr>
          <w:rFonts w:asciiTheme="minorHAnsi" w:hAnsiTheme="minorHAnsi" w:cstheme="minorHAnsi"/>
          <w:color w:val="202A30"/>
        </w:rPr>
        <w:t>. This places duties on NHS England, and all trusts, foundation trusts, and integrated care boards to contribute towards statutory emissions and environmental targets.</w:t>
      </w:r>
    </w:p>
    <w:p w14:paraId="59C7DD5F" w14:textId="77777777" w:rsidR="00F111B0" w:rsidRPr="00B7196D" w:rsidRDefault="00F111B0" w:rsidP="00F111B0">
      <w:pPr>
        <w:pStyle w:val="NormalWeb"/>
        <w:shd w:val="clear" w:color="auto" w:fill="FFFFFF"/>
        <w:spacing w:before="0" w:beforeAutospacing="0" w:after="0" w:afterAutospacing="0"/>
        <w:textAlignment w:val="baseline"/>
        <w:rPr>
          <w:rFonts w:asciiTheme="minorHAnsi" w:hAnsiTheme="minorHAnsi" w:cstheme="minorHAnsi"/>
          <w:color w:val="202A30"/>
        </w:rPr>
      </w:pPr>
    </w:p>
    <w:p w14:paraId="63845D2D" w14:textId="77777777" w:rsidR="00F111B0" w:rsidRPr="00B7196D" w:rsidRDefault="00F111B0" w:rsidP="00F111B0">
      <w:pPr>
        <w:pStyle w:val="NormalWeb"/>
        <w:shd w:val="clear" w:color="auto" w:fill="FFFFFF"/>
        <w:spacing w:before="0" w:beforeAutospacing="0" w:after="225" w:afterAutospacing="0"/>
        <w:textAlignment w:val="baseline"/>
        <w:rPr>
          <w:rFonts w:asciiTheme="minorHAnsi" w:hAnsiTheme="minorHAnsi" w:cstheme="minorHAnsi"/>
          <w:color w:val="202A30"/>
        </w:rPr>
      </w:pPr>
      <w:r w:rsidRPr="00B7196D">
        <w:rPr>
          <w:rFonts w:asciiTheme="minorHAnsi" w:hAnsiTheme="minorHAnsi" w:cstheme="minorHAnsi"/>
          <w:color w:val="202A30"/>
        </w:rPr>
        <w:t>The Act requires commissioners and providers of NHS services specifically to address the net zero emissions targets. It also covers measures to adapt to any current or predicted impacts of climate change identified within the 2008 Climate Change Act.</w:t>
      </w:r>
    </w:p>
    <w:p w14:paraId="2FA9EE63" w14:textId="67F7751E" w:rsidR="00606DF2" w:rsidRPr="00F111B0" w:rsidRDefault="00F111B0" w:rsidP="00F111B0">
      <w:r w:rsidRPr="00B7196D">
        <w:rPr>
          <w:rFonts w:cstheme="minorHAnsi"/>
          <w:color w:val="202A30"/>
          <w:szCs w:val="24"/>
        </w:rPr>
        <w:t>Trusts and integrated care boards (ICBs) will meet this new duty through the delivery of their localised Green Plans, and every Trust and ICB in the country now having a board-level lead</w:t>
      </w:r>
      <w:r w:rsidR="00606DF2" w:rsidRPr="00F111B0">
        <w:t>.</w:t>
      </w:r>
    </w:p>
    <w:p w14:paraId="252B0E47" w14:textId="77777777" w:rsidR="00606DF2" w:rsidRDefault="00606DF2" w:rsidP="000D485B">
      <w:pPr>
        <w:pStyle w:val="Heading3"/>
        <w:numPr>
          <w:ilvl w:val="0"/>
          <w:numId w:val="13"/>
        </w:numPr>
        <w:spacing w:before="300"/>
        <w:rPr>
          <w:rFonts w:eastAsiaTheme="minorHAnsi"/>
        </w:rPr>
      </w:pPr>
      <w:r>
        <w:rPr>
          <w:rFonts w:eastAsiaTheme="minorHAnsi"/>
        </w:rPr>
        <w:t xml:space="preserve">Risk </w:t>
      </w:r>
      <w:proofErr w:type="gramStart"/>
      <w:r>
        <w:rPr>
          <w:rFonts w:eastAsiaTheme="minorHAnsi"/>
        </w:rPr>
        <w:t>implications</w:t>
      </w:r>
      <w:proofErr w:type="gramEnd"/>
    </w:p>
    <w:tbl>
      <w:tblPr>
        <w:tblStyle w:val="TableGrid"/>
        <w:tblW w:w="0" w:type="auto"/>
        <w:tblBorders>
          <w:top w:val="single" w:sz="4" w:space="0" w:color="15174A" w:themeColor="accent1" w:themeShade="BF"/>
          <w:left w:val="single" w:sz="4" w:space="0" w:color="15174A" w:themeColor="accent1" w:themeShade="BF"/>
          <w:bottom w:val="single" w:sz="4" w:space="0" w:color="15174A" w:themeColor="accent1" w:themeShade="BF"/>
          <w:right w:val="single" w:sz="4" w:space="0" w:color="15174A" w:themeColor="accent1" w:themeShade="BF"/>
          <w:insideH w:val="single" w:sz="4" w:space="0" w:color="15174A" w:themeColor="accent1" w:themeShade="BF"/>
          <w:insideV w:val="single" w:sz="4" w:space="0" w:color="15174A" w:themeColor="accent1" w:themeShade="BF"/>
        </w:tblBorders>
        <w:tblLook w:val="04A0" w:firstRow="1" w:lastRow="0" w:firstColumn="1" w:lastColumn="0" w:noHBand="0" w:noVBand="1"/>
      </w:tblPr>
      <w:tblGrid>
        <w:gridCol w:w="4503"/>
        <w:gridCol w:w="4739"/>
      </w:tblGrid>
      <w:tr w:rsidR="0056002B" w14:paraId="511C6E82" w14:textId="77777777" w:rsidTr="007B44BE">
        <w:tc>
          <w:tcPr>
            <w:tcW w:w="4503" w:type="dxa"/>
            <w:shd w:val="clear" w:color="auto" w:fill="F2F2F2" w:themeFill="background1" w:themeFillShade="F2"/>
          </w:tcPr>
          <w:p w14:paraId="2A99A5F5" w14:textId="77777777" w:rsidR="0056002B" w:rsidRPr="008A7D55" w:rsidRDefault="0056002B" w:rsidP="007B44BE">
            <w:pPr>
              <w:rPr>
                <w:rFonts w:eastAsia="Times New Roman" w:cs="Calibri"/>
                <w:b/>
                <w:bCs/>
                <w:color w:val="000000"/>
                <w:sz w:val="20"/>
                <w:szCs w:val="20"/>
                <w:lang w:eastAsia="en-GB"/>
              </w:rPr>
            </w:pPr>
            <w:r w:rsidRPr="008A7D55">
              <w:rPr>
                <w:rFonts w:eastAsia="Times New Roman" w:cs="Calibri"/>
                <w:b/>
                <w:bCs/>
                <w:color w:val="000000"/>
                <w:sz w:val="20"/>
                <w:szCs w:val="20"/>
                <w:lang w:eastAsia="en-GB"/>
              </w:rPr>
              <w:t>Risk</w:t>
            </w:r>
          </w:p>
        </w:tc>
        <w:tc>
          <w:tcPr>
            <w:tcW w:w="4739" w:type="dxa"/>
            <w:shd w:val="clear" w:color="auto" w:fill="F2F2F2" w:themeFill="background1" w:themeFillShade="F2"/>
          </w:tcPr>
          <w:p w14:paraId="63806E82" w14:textId="77777777" w:rsidR="0056002B" w:rsidRPr="008A7D55" w:rsidRDefault="0056002B" w:rsidP="007B44BE">
            <w:pPr>
              <w:rPr>
                <w:rFonts w:eastAsia="Times New Roman" w:cs="Calibri"/>
                <w:b/>
                <w:bCs/>
                <w:color w:val="000000"/>
                <w:sz w:val="20"/>
                <w:szCs w:val="20"/>
                <w:lang w:eastAsia="en-GB"/>
              </w:rPr>
            </w:pPr>
            <w:r w:rsidRPr="008A7D55">
              <w:rPr>
                <w:rFonts w:eastAsia="Times New Roman" w:cs="Calibri"/>
                <w:b/>
                <w:bCs/>
                <w:color w:val="000000"/>
                <w:sz w:val="20"/>
                <w:szCs w:val="20"/>
                <w:lang w:eastAsia="en-GB"/>
              </w:rPr>
              <w:t>Mitigations</w:t>
            </w:r>
          </w:p>
        </w:tc>
      </w:tr>
      <w:tr w:rsidR="0056002B" w14:paraId="57306E5C" w14:textId="77777777" w:rsidTr="007B44BE">
        <w:tc>
          <w:tcPr>
            <w:tcW w:w="4503" w:type="dxa"/>
            <w:shd w:val="clear" w:color="auto" w:fill="FAF9F9" w:themeFill="background2" w:themeFillTint="33"/>
          </w:tcPr>
          <w:p w14:paraId="4AC83FAD" w14:textId="2A2D3786" w:rsidR="0056002B" w:rsidRPr="008A7D55" w:rsidRDefault="0056002B" w:rsidP="007B44BE">
            <w:pPr>
              <w:rPr>
                <w:rFonts w:eastAsia="Times New Roman" w:cs="Calibri"/>
                <w:color w:val="000000"/>
                <w:sz w:val="20"/>
                <w:szCs w:val="20"/>
                <w:lang w:eastAsia="en-GB"/>
              </w:rPr>
            </w:pPr>
            <w:r>
              <w:rPr>
                <w:rFonts w:eastAsia="Times New Roman" w:cs="Calibri"/>
                <w:b/>
                <w:bCs/>
                <w:color w:val="000000"/>
                <w:sz w:val="20"/>
                <w:szCs w:val="20"/>
                <w:lang w:eastAsia="en-GB"/>
              </w:rPr>
              <w:lastRenderedPageBreak/>
              <w:t xml:space="preserve">Engagement </w:t>
            </w:r>
            <w:r>
              <w:rPr>
                <w:rFonts w:eastAsia="Times New Roman" w:cs="Calibri"/>
                <w:color w:val="000000"/>
                <w:sz w:val="20"/>
                <w:szCs w:val="20"/>
                <w:lang w:eastAsia="en-GB"/>
              </w:rPr>
              <w:t xml:space="preserve">– risk that the </w:t>
            </w:r>
            <w:proofErr w:type="gramStart"/>
            <w:r w:rsidR="00002A78">
              <w:rPr>
                <w:rFonts w:eastAsia="Times New Roman" w:cs="Calibri"/>
                <w:color w:val="000000"/>
                <w:sz w:val="20"/>
                <w:szCs w:val="20"/>
                <w:lang w:eastAsia="en-GB"/>
              </w:rPr>
              <w:t>Green</w:t>
            </w:r>
            <w:proofErr w:type="gramEnd"/>
            <w:r w:rsidR="00002A78">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plan will fail to become </w:t>
            </w:r>
            <w:r w:rsidR="00002A78">
              <w:rPr>
                <w:rFonts w:eastAsia="Times New Roman" w:cs="Calibri"/>
                <w:color w:val="000000"/>
                <w:sz w:val="20"/>
                <w:szCs w:val="20"/>
                <w:lang w:eastAsia="en-GB"/>
              </w:rPr>
              <w:t>fully</w:t>
            </w:r>
            <w:r>
              <w:rPr>
                <w:rFonts w:eastAsia="Times New Roman" w:cs="Calibri"/>
                <w:color w:val="000000"/>
                <w:sz w:val="20"/>
                <w:szCs w:val="20"/>
                <w:lang w:eastAsia="en-GB"/>
              </w:rPr>
              <w:t xml:space="preserve"> embedded across the breadth of our activities</w:t>
            </w:r>
            <w:r w:rsidR="00002A78">
              <w:rPr>
                <w:rFonts w:eastAsia="Times New Roman" w:cs="Calibri"/>
                <w:color w:val="000000"/>
                <w:sz w:val="20"/>
                <w:szCs w:val="20"/>
                <w:lang w:eastAsia="en-GB"/>
              </w:rPr>
              <w:t>.</w:t>
            </w:r>
          </w:p>
        </w:tc>
        <w:tc>
          <w:tcPr>
            <w:tcW w:w="4739" w:type="dxa"/>
            <w:shd w:val="clear" w:color="auto" w:fill="FAF9F9" w:themeFill="background2" w:themeFillTint="33"/>
          </w:tcPr>
          <w:p w14:paraId="7F3FB080"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Delivery of communications &amp; e</w:t>
            </w:r>
            <w:r w:rsidRPr="00462EB2">
              <w:rPr>
                <w:rFonts w:eastAsia="Times New Roman" w:cs="Calibri"/>
                <w:color w:val="000000"/>
                <w:sz w:val="20"/>
                <w:szCs w:val="20"/>
                <w:lang w:eastAsia="en-GB"/>
              </w:rPr>
              <w:t>ngagement strategy</w:t>
            </w:r>
          </w:p>
          <w:p w14:paraId="49632AD7" w14:textId="0D08CAC8" w:rsidR="0056002B" w:rsidRDefault="00002A78"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Approval by ICS organisation Boards</w:t>
            </w:r>
          </w:p>
          <w:p w14:paraId="7C6F5C2F" w14:textId="77777777" w:rsidR="0056002B" w:rsidRPr="00462EB2"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Role of ICS Steering Group to oversee alignment</w:t>
            </w:r>
          </w:p>
        </w:tc>
      </w:tr>
      <w:tr w:rsidR="0056002B" w14:paraId="6C4EC334" w14:textId="77777777" w:rsidTr="007B44BE">
        <w:tc>
          <w:tcPr>
            <w:tcW w:w="4503" w:type="dxa"/>
            <w:shd w:val="clear" w:color="auto" w:fill="FAF9F9" w:themeFill="background2" w:themeFillTint="33"/>
          </w:tcPr>
          <w:p w14:paraId="3271F918" w14:textId="79D2B9B7" w:rsidR="0056002B" w:rsidRDefault="0056002B" w:rsidP="007B44BE">
            <w:pPr>
              <w:rPr>
                <w:rFonts w:eastAsia="Times New Roman" w:cs="Calibri"/>
                <w:color w:val="000000"/>
                <w:sz w:val="20"/>
                <w:szCs w:val="20"/>
                <w:lang w:eastAsia="en-GB"/>
              </w:rPr>
            </w:pPr>
            <w:r>
              <w:rPr>
                <w:rFonts w:eastAsia="Times New Roman" w:cs="Calibri"/>
                <w:b/>
                <w:bCs/>
                <w:color w:val="000000"/>
                <w:sz w:val="20"/>
                <w:szCs w:val="20"/>
                <w:lang w:eastAsia="en-GB"/>
              </w:rPr>
              <w:t xml:space="preserve">Financial – </w:t>
            </w:r>
            <w:r>
              <w:rPr>
                <w:rFonts w:eastAsia="Times New Roman" w:cs="Calibri"/>
                <w:color w:val="000000"/>
                <w:sz w:val="20"/>
                <w:szCs w:val="20"/>
                <w:lang w:eastAsia="en-GB"/>
              </w:rPr>
              <w:t>Risk that we are unable to meet the outcomes of the plan due to financial constraints in terms of capital investment and revenue implications</w:t>
            </w:r>
            <w:r w:rsidR="0043349D">
              <w:rPr>
                <w:rFonts w:eastAsia="Times New Roman" w:cs="Calibri"/>
                <w:color w:val="000000"/>
                <w:sz w:val="20"/>
                <w:szCs w:val="20"/>
                <w:lang w:eastAsia="en-GB"/>
              </w:rPr>
              <w:t xml:space="preserve"> and </w:t>
            </w:r>
            <w:r w:rsidR="005D7567">
              <w:rPr>
                <w:rFonts w:eastAsia="Times New Roman" w:cs="Calibri"/>
                <w:color w:val="000000"/>
                <w:sz w:val="20"/>
                <w:szCs w:val="20"/>
                <w:lang w:eastAsia="en-GB"/>
              </w:rPr>
              <w:t>being able to access off balance sheet 3</w:t>
            </w:r>
            <w:r w:rsidR="005D7567" w:rsidRPr="005D7567">
              <w:rPr>
                <w:rFonts w:eastAsia="Times New Roman" w:cs="Calibri"/>
                <w:color w:val="000000"/>
                <w:sz w:val="20"/>
                <w:szCs w:val="20"/>
                <w:vertAlign w:val="superscript"/>
                <w:lang w:eastAsia="en-GB"/>
              </w:rPr>
              <w:t>rd</w:t>
            </w:r>
            <w:r w:rsidR="005D7567">
              <w:rPr>
                <w:rFonts w:eastAsia="Times New Roman" w:cs="Calibri"/>
                <w:color w:val="000000"/>
                <w:sz w:val="20"/>
                <w:szCs w:val="20"/>
                <w:lang w:eastAsia="en-GB"/>
              </w:rPr>
              <w:t xml:space="preserve"> party </w:t>
            </w:r>
            <w:proofErr w:type="gramStart"/>
            <w:r w:rsidR="005D7567">
              <w:rPr>
                <w:rFonts w:eastAsia="Times New Roman" w:cs="Calibri"/>
                <w:color w:val="000000"/>
                <w:sz w:val="20"/>
                <w:szCs w:val="20"/>
                <w:lang w:eastAsia="en-GB"/>
              </w:rPr>
              <w:t>funding</w:t>
            </w:r>
            <w:proofErr w:type="gramEnd"/>
          </w:p>
          <w:p w14:paraId="78069FDA" w14:textId="6F4A1CD1" w:rsidR="00A8644D" w:rsidRPr="00462EB2" w:rsidRDefault="00A8644D" w:rsidP="007B44BE">
            <w:pPr>
              <w:rPr>
                <w:rFonts w:eastAsia="Times New Roman" w:cs="Calibri"/>
                <w:color w:val="000000"/>
                <w:sz w:val="20"/>
                <w:szCs w:val="20"/>
                <w:lang w:eastAsia="en-GB"/>
              </w:rPr>
            </w:pPr>
          </w:p>
        </w:tc>
        <w:tc>
          <w:tcPr>
            <w:tcW w:w="4739" w:type="dxa"/>
            <w:shd w:val="clear" w:color="auto" w:fill="FAF9F9" w:themeFill="background2" w:themeFillTint="33"/>
          </w:tcPr>
          <w:p w14:paraId="312F65A2"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Access to national funding such as Public Sector Decarbonisation Funds</w:t>
            </w:r>
          </w:p>
          <w:p w14:paraId="025AC003"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Early strategic planning at a system level to understand total financial need &amp; prioritisation of resources to highest impact </w:t>
            </w:r>
            <w:proofErr w:type="gramStart"/>
            <w:r>
              <w:rPr>
                <w:rFonts w:eastAsia="Times New Roman" w:cs="Calibri"/>
                <w:color w:val="000000"/>
                <w:sz w:val="20"/>
                <w:szCs w:val="20"/>
                <w:lang w:eastAsia="en-GB"/>
              </w:rPr>
              <w:t>areas</w:t>
            </w:r>
            <w:proofErr w:type="gramEnd"/>
          </w:p>
          <w:p w14:paraId="4FA5A078" w14:textId="6781A1BE" w:rsidR="00275A0A" w:rsidRDefault="00275A0A"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Lobbying for off balance sheet 3</w:t>
            </w:r>
            <w:r w:rsidRPr="00275A0A">
              <w:rPr>
                <w:rFonts w:eastAsia="Times New Roman" w:cs="Calibri"/>
                <w:color w:val="000000"/>
                <w:sz w:val="20"/>
                <w:szCs w:val="20"/>
                <w:vertAlign w:val="superscript"/>
                <w:lang w:eastAsia="en-GB"/>
              </w:rPr>
              <w:t>rd</w:t>
            </w:r>
            <w:r>
              <w:rPr>
                <w:rFonts w:eastAsia="Times New Roman" w:cs="Calibri"/>
                <w:color w:val="000000"/>
                <w:sz w:val="20"/>
                <w:szCs w:val="20"/>
                <w:lang w:eastAsia="en-GB"/>
              </w:rPr>
              <w:t xml:space="preserve"> party funding solution</w:t>
            </w:r>
          </w:p>
          <w:p w14:paraId="6E84E37E"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Recognise the financial savings that are possible through operating more </w:t>
            </w:r>
            <w:proofErr w:type="gramStart"/>
            <w:r>
              <w:rPr>
                <w:rFonts w:eastAsia="Times New Roman" w:cs="Calibri"/>
                <w:color w:val="000000"/>
                <w:sz w:val="20"/>
                <w:szCs w:val="20"/>
                <w:lang w:eastAsia="en-GB"/>
              </w:rPr>
              <w:t>sustainably</w:t>
            </w:r>
            <w:proofErr w:type="gramEnd"/>
          </w:p>
          <w:p w14:paraId="7B183FA6"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Accounting for the contribution to non-financial outcomes (e.g. population health) that can be achieved by operating sustainably</w:t>
            </w:r>
          </w:p>
        </w:tc>
      </w:tr>
      <w:tr w:rsidR="0056002B" w14:paraId="759A9672" w14:textId="77777777" w:rsidTr="007B44BE">
        <w:tc>
          <w:tcPr>
            <w:tcW w:w="4503" w:type="dxa"/>
            <w:shd w:val="clear" w:color="auto" w:fill="FAF9F9" w:themeFill="background2" w:themeFillTint="33"/>
          </w:tcPr>
          <w:p w14:paraId="24A3A47E" w14:textId="77777777" w:rsidR="0056002B" w:rsidRPr="00462EB2" w:rsidRDefault="0056002B" w:rsidP="007B44BE">
            <w:pPr>
              <w:rPr>
                <w:rFonts w:eastAsia="Times New Roman" w:cs="Calibri"/>
                <w:color w:val="000000"/>
                <w:sz w:val="20"/>
                <w:szCs w:val="20"/>
                <w:lang w:eastAsia="en-GB"/>
              </w:rPr>
            </w:pPr>
            <w:r>
              <w:rPr>
                <w:rFonts w:eastAsia="Times New Roman" w:cs="Calibri"/>
                <w:b/>
                <w:bCs/>
                <w:color w:val="000000"/>
                <w:sz w:val="20"/>
                <w:szCs w:val="20"/>
                <w:lang w:eastAsia="en-GB"/>
              </w:rPr>
              <w:t xml:space="preserve">Reputational – </w:t>
            </w:r>
            <w:r>
              <w:rPr>
                <w:rFonts w:eastAsia="Times New Roman" w:cs="Calibri"/>
                <w:color w:val="000000"/>
                <w:sz w:val="20"/>
                <w:szCs w:val="20"/>
                <w:lang w:eastAsia="en-GB"/>
              </w:rPr>
              <w:t xml:space="preserve">Risk that our reputation is impacted if we are unable to meet the outcomes set out in this plan </w:t>
            </w:r>
          </w:p>
        </w:tc>
        <w:tc>
          <w:tcPr>
            <w:tcW w:w="4739" w:type="dxa"/>
            <w:shd w:val="clear" w:color="auto" w:fill="FAF9F9" w:themeFill="background2" w:themeFillTint="33"/>
          </w:tcPr>
          <w:p w14:paraId="34EA4054"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Green Plan Steering Group to maintain close focus on key </w:t>
            </w:r>
            <w:proofErr w:type="gramStart"/>
            <w:r>
              <w:rPr>
                <w:rFonts w:eastAsia="Times New Roman" w:cs="Calibri"/>
                <w:color w:val="000000"/>
                <w:sz w:val="20"/>
                <w:szCs w:val="20"/>
                <w:lang w:eastAsia="en-GB"/>
              </w:rPr>
              <w:t>deliverables</w:t>
            </w:r>
            <w:proofErr w:type="gramEnd"/>
          </w:p>
          <w:p w14:paraId="19B2A618"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Maintain an honest dialogue with staff &amp; citizens about what is achievable and any barriers to delivery that are outside of our control (e.g. supply chain, decarbonisation of national grid)</w:t>
            </w:r>
          </w:p>
        </w:tc>
      </w:tr>
      <w:tr w:rsidR="0056002B" w14:paraId="1B6C3F12" w14:textId="77777777" w:rsidTr="007B44BE">
        <w:tc>
          <w:tcPr>
            <w:tcW w:w="4503" w:type="dxa"/>
            <w:shd w:val="clear" w:color="auto" w:fill="FAF9F9" w:themeFill="background2" w:themeFillTint="33"/>
          </w:tcPr>
          <w:p w14:paraId="468A884D" w14:textId="77777777" w:rsidR="0056002B" w:rsidRPr="0080515E" w:rsidRDefault="0056002B" w:rsidP="007B44BE">
            <w:pPr>
              <w:rPr>
                <w:rFonts w:eastAsia="Times New Roman" w:cs="Calibri"/>
                <w:color w:val="000000"/>
                <w:sz w:val="20"/>
                <w:szCs w:val="20"/>
                <w:lang w:eastAsia="en-GB"/>
              </w:rPr>
            </w:pPr>
            <w:r>
              <w:rPr>
                <w:rFonts w:eastAsia="Times New Roman" w:cs="Calibri"/>
                <w:b/>
                <w:bCs/>
                <w:color w:val="000000"/>
                <w:sz w:val="20"/>
                <w:szCs w:val="20"/>
                <w:lang w:eastAsia="en-GB"/>
              </w:rPr>
              <w:t xml:space="preserve">Elements of delivery beyond our control – </w:t>
            </w:r>
            <w:r>
              <w:rPr>
                <w:rFonts w:eastAsia="Times New Roman" w:cs="Calibri"/>
                <w:color w:val="000000"/>
                <w:sz w:val="20"/>
                <w:szCs w:val="20"/>
                <w:lang w:eastAsia="en-GB"/>
              </w:rPr>
              <w:t>Risk that we are unable to deliver against significant elements of the plan due to elements of the plan that are outside of our direct control (e.g. supply chain, national grid decarbonisation)</w:t>
            </w:r>
          </w:p>
        </w:tc>
        <w:tc>
          <w:tcPr>
            <w:tcW w:w="4739" w:type="dxa"/>
            <w:shd w:val="clear" w:color="auto" w:fill="FAF9F9" w:themeFill="background2" w:themeFillTint="33"/>
          </w:tcPr>
          <w:p w14:paraId="4B9BD999"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Early and robust engagement with supply chains</w:t>
            </w:r>
          </w:p>
          <w:p w14:paraId="34F7A470"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Use collective pressure through regional and national bodies</w:t>
            </w:r>
          </w:p>
        </w:tc>
      </w:tr>
      <w:tr w:rsidR="0056002B" w14:paraId="4CE15F52" w14:textId="77777777" w:rsidTr="007B44BE">
        <w:tc>
          <w:tcPr>
            <w:tcW w:w="4503" w:type="dxa"/>
            <w:shd w:val="clear" w:color="auto" w:fill="FAF9F9" w:themeFill="background2" w:themeFillTint="33"/>
          </w:tcPr>
          <w:p w14:paraId="22BC5BF9" w14:textId="6AE257E9" w:rsidR="0056002B" w:rsidRPr="0080515E" w:rsidRDefault="0056002B" w:rsidP="007B44BE">
            <w:pPr>
              <w:rPr>
                <w:rFonts w:eastAsia="Times New Roman" w:cs="Calibri"/>
                <w:color w:val="000000"/>
                <w:sz w:val="20"/>
                <w:szCs w:val="20"/>
                <w:lang w:eastAsia="en-GB"/>
              </w:rPr>
            </w:pPr>
            <w:r>
              <w:rPr>
                <w:rFonts w:eastAsia="Times New Roman" w:cs="Calibri"/>
                <w:b/>
                <w:bCs/>
                <w:color w:val="000000"/>
                <w:sz w:val="20"/>
                <w:szCs w:val="20"/>
                <w:lang w:eastAsia="en-GB"/>
              </w:rPr>
              <w:t xml:space="preserve">Competing priorities – </w:t>
            </w:r>
            <w:r>
              <w:rPr>
                <w:rFonts w:eastAsia="Times New Roman" w:cs="Calibri"/>
                <w:color w:val="000000"/>
                <w:sz w:val="20"/>
                <w:szCs w:val="20"/>
                <w:lang w:eastAsia="en-GB"/>
              </w:rPr>
              <w:t xml:space="preserve">risk that the pressures </w:t>
            </w:r>
            <w:r w:rsidR="00104FEE">
              <w:rPr>
                <w:rFonts w:eastAsia="Times New Roman" w:cs="Calibri"/>
                <w:color w:val="000000"/>
                <w:sz w:val="20"/>
                <w:szCs w:val="20"/>
                <w:lang w:eastAsia="en-GB"/>
              </w:rPr>
              <w:t>such as</w:t>
            </w:r>
            <w:r>
              <w:rPr>
                <w:rFonts w:eastAsia="Times New Roman" w:cs="Calibri"/>
                <w:color w:val="000000"/>
                <w:sz w:val="20"/>
                <w:szCs w:val="20"/>
                <w:lang w:eastAsia="en-GB"/>
              </w:rPr>
              <w:t xml:space="preserve"> elective recovery, and establishment of new models of care impact on delivery and relative priority of this plan</w:t>
            </w:r>
          </w:p>
        </w:tc>
        <w:tc>
          <w:tcPr>
            <w:tcW w:w="4739" w:type="dxa"/>
            <w:shd w:val="clear" w:color="auto" w:fill="FAF9F9" w:themeFill="background2" w:themeFillTint="33"/>
          </w:tcPr>
          <w:p w14:paraId="2F212F68"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Ensure that the sustainability outcomes are central to our ICS strategic </w:t>
            </w:r>
            <w:proofErr w:type="gramStart"/>
            <w:r>
              <w:rPr>
                <w:rFonts w:eastAsia="Times New Roman" w:cs="Calibri"/>
                <w:color w:val="000000"/>
                <w:sz w:val="20"/>
                <w:szCs w:val="20"/>
                <w:lang w:eastAsia="en-GB"/>
              </w:rPr>
              <w:t>aims</w:t>
            </w:r>
            <w:proofErr w:type="gramEnd"/>
          </w:p>
          <w:p w14:paraId="27247B5B"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Continue to recognise that operating sustainably is a key part of the solutions to our biggest challenges, not an </w:t>
            </w:r>
            <w:proofErr w:type="gramStart"/>
            <w:r>
              <w:rPr>
                <w:rFonts w:eastAsia="Times New Roman" w:cs="Calibri"/>
                <w:color w:val="000000"/>
                <w:sz w:val="20"/>
                <w:szCs w:val="20"/>
                <w:lang w:eastAsia="en-GB"/>
              </w:rPr>
              <w:t>afterthought</w:t>
            </w:r>
            <w:proofErr w:type="gramEnd"/>
          </w:p>
          <w:p w14:paraId="3D9D0BFB"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Role of executive leaders to maintain the priority of this programme.</w:t>
            </w:r>
          </w:p>
        </w:tc>
      </w:tr>
      <w:tr w:rsidR="0056002B" w14:paraId="1648EA89" w14:textId="77777777" w:rsidTr="007B44BE">
        <w:tc>
          <w:tcPr>
            <w:tcW w:w="4503" w:type="dxa"/>
            <w:shd w:val="clear" w:color="auto" w:fill="FAF9F9" w:themeFill="background2" w:themeFillTint="33"/>
          </w:tcPr>
          <w:p w14:paraId="7D129D09" w14:textId="77777777" w:rsidR="0056002B" w:rsidRDefault="0056002B" w:rsidP="007B44BE">
            <w:pPr>
              <w:rPr>
                <w:rFonts w:eastAsia="Times New Roman" w:cs="Calibri"/>
                <w:b/>
                <w:bCs/>
                <w:color w:val="000000"/>
                <w:sz w:val="20"/>
                <w:szCs w:val="20"/>
                <w:lang w:eastAsia="en-GB"/>
              </w:rPr>
            </w:pPr>
            <w:r>
              <w:rPr>
                <w:rFonts w:eastAsia="Times New Roman" w:cs="Calibri"/>
                <w:b/>
                <w:bCs/>
                <w:color w:val="000000"/>
                <w:sz w:val="20"/>
                <w:szCs w:val="20"/>
                <w:lang w:eastAsia="en-GB"/>
              </w:rPr>
              <w:t>Adapting to climate change –</w:t>
            </w:r>
            <w:r>
              <w:rPr>
                <w:rFonts w:eastAsia="Times New Roman" w:cs="Calibri"/>
                <w:color w:val="000000"/>
                <w:sz w:val="20"/>
                <w:szCs w:val="20"/>
                <w:lang w:eastAsia="en-GB"/>
              </w:rPr>
              <w:t xml:space="preserve"> Risk to health of our population and delivery of services if we fail to adapt to climate change</w:t>
            </w:r>
          </w:p>
        </w:tc>
        <w:tc>
          <w:tcPr>
            <w:tcW w:w="4739" w:type="dxa"/>
            <w:shd w:val="clear" w:color="auto" w:fill="FAF9F9" w:themeFill="background2" w:themeFillTint="33"/>
          </w:tcPr>
          <w:p w14:paraId="4E1F50B7"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Ensure adaptation plans and risk assessments are </w:t>
            </w:r>
            <w:proofErr w:type="gramStart"/>
            <w:r>
              <w:rPr>
                <w:rFonts w:eastAsia="Times New Roman" w:cs="Calibri"/>
                <w:color w:val="000000"/>
                <w:sz w:val="20"/>
                <w:szCs w:val="20"/>
                <w:lang w:eastAsia="en-GB"/>
              </w:rPr>
              <w:t>completed</w:t>
            </w:r>
            <w:proofErr w:type="gramEnd"/>
          </w:p>
          <w:p w14:paraId="22684C6E" w14:textId="77777777" w:rsidR="0056002B" w:rsidRDefault="0056002B" w:rsidP="0056002B">
            <w:pPr>
              <w:pStyle w:val="ListParagraph"/>
              <w:numPr>
                <w:ilvl w:val="0"/>
                <w:numId w:val="15"/>
              </w:num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Ensuring adaptation is considered alongside mitigation of climate change</w:t>
            </w:r>
          </w:p>
        </w:tc>
      </w:tr>
    </w:tbl>
    <w:p w14:paraId="57F26FF2" w14:textId="77777777" w:rsidR="00606DF2" w:rsidRDefault="00606DF2" w:rsidP="000D485B">
      <w:pPr>
        <w:pStyle w:val="Heading3"/>
        <w:numPr>
          <w:ilvl w:val="0"/>
          <w:numId w:val="13"/>
        </w:numPr>
        <w:spacing w:before="320"/>
        <w:rPr>
          <w:rFonts w:eastAsiaTheme="minorHAnsi"/>
        </w:rPr>
      </w:pPr>
      <w:r>
        <w:rPr>
          <w:rFonts w:eastAsiaTheme="minorHAnsi"/>
        </w:rPr>
        <w:t xml:space="preserve">How does this reduce health </w:t>
      </w:r>
      <w:proofErr w:type="gramStart"/>
      <w:r>
        <w:rPr>
          <w:rFonts w:eastAsiaTheme="minorHAnsi"/>
        </w:rPr>
        <w:t>inequalities</w:t>
      </w:r>
      <w:proofErr w:type="gramEnd"/>
    </w:p>
    <w:p w14:paraId="14E14687" w14:textId="77777777" w:rsidR="004F33BB" w:rsidRPr="004F33BB" w:rsidRDefault="004F33BB" w:rsidP="004F33BB">
      <w:pPr>
        <w:spacing w:line="240" w:lineRule="auto"/>
        <w:rPr>
          <w:rFonts w:asciiTheme="minorHAnsi" w:eastAsia="Times New Roman" w:hAnsiTheme="minorHAnsi" w:cstheme="minorHAnsi"/>
          <w:szCs w:val="24"/>
          <w:lang w:eastAsia="en-GB"/>
        </w:rPr>
      </w:pPr>
      <w:r w:rsidRPr="004F33BB">
        <w:rPr>
          <w:rFonts w:asciiTheme="minorHAnsi" w:eastAsia="Times New Roman" w:hAnsiTheme="minorHAnsi" w:cstheme="minorHAnsi"/>
          <w:szCs w:val="24"/>
          <w:lang w:val="en-US" w:eastAsia="en-GB"/>
        </w:rPr>
        <w:t xml:space="preserve">Health inequalities and climate change are both systemic issues the </w:t>
      </w:r>
      <w:r w:rsidRPr="004F33BB">
        <w:rPr>
          <w:rFonts w:asciiTheme="minorHAnsi" w:eastAsia="Times New Roman" w:hAnsiTheme="minorHAnsi" w:cstheme="minorHAnsi"/>
          <w:szCs w:val="24"/>
          <w:lang w:eastAsia="en-GB"/>
        </w:rPr>
        <w:t xml:space="preserve">determinants and impacts of health and climate change are interconnected. Climate change impacts exacerbate health inequalities. But there are health co-benefits of mitigating climate change including through cleaner air, healthier </w:t>
      </w:r>
      <w:proofErr w:type="gramStart"/>
      <w:r w:rsidRPr="004F33BB">
        <w:rPr>
          <w:rFonts w:asciiTheme="minorHAnsi" w:eastAsia="Times New Roman" w:hAnsiTheme="minorHAnsi" w:cstheme="minorHAnsi"/>
          <w:szCs w:val="24"/>
          <w:lang w:eastAsia="en-GB"/>
        </w:rPr>
        <w:t>diets</w:t>
      </w:r>
      <w:proofErr w:type="gramEnd"/>
      <w:r w:rsidRPr="004F33BB">
        <w:rPr>
          <w:rFonts w:asciiTheme="minorHAnsi" w:eastAsia="Times New Roman" w:hAnsiTheme="minorHAnsi" w:cstheme="minorHAnsi"/>
          <w:szCs w:val="24"/>
          <w:lang w:eastAsia="en-GB"/>
        </w:rPr>
        <w:t xml:space="preserve"> and physical activity. </w:t>
      </w:r>
    </w:p>
    <w:p w14:paraId="215B6E81" w14:textId="77777777" w:rsidR="004F33BB" w:rsidRPr="004F33BB" w:rsidRDefault="004F33BB" w:rsidP="004F33BB">
      <w:pPr>
        <w:pStyle w:val="Default"/>
        <w:spacing w:after="80" w:line="288" w:lineRule="auto"/>
        <w:rPr>
          <w:rFonts w:asciiTheme="minorHAnsi" w:hAnsiTheme="minorHAnsi" w:cstheme="minorHAnsi"/>
        </w:rPr>
      </w:pPr>
    </w:p>
    <w:tbl>
      <w:tblPr>
        <w:tblStyle w:val="TableGrid"/>
        <w:tblW w:w="0" w:type="auto"/>
        <w:tblBorders>
          <w:top w:val="single" w:sz="4" w:space="0" w:color="15174A" w:themeColor="accent1" w:themeShade="BF"/>
          <w:left w:val="single" w:sz="4" w:space="0" w:color="15174A" w:themeColor="accent1" w:themeShade="BF"/>
          <w:bottom w:val="single" w:sz="4" w:space="0" w:color="15174A" w:themeColor="accent1" w:themeShade="BF"/>
          <w:right w:val="single" w:sz="4" w:space="0" w:color="15174A" w:themeColor="accent1" w:themeShade="BF"/>
          <w:insideH w:val="single" w:sz="4" w:space="0" w:color="15174A" w:themeColor="accent1" w:themeShade="BF"/>
          <w:insideV w:val="single" w:sz="4" w:space="0" w:color="15174A" w:themeColor="accent1" w:themeShade="BF"/>
        </w:tblBorders>
        <w:tblLook w:val="04A0" w:firstRow="1" w:lastRow="0" w:firstColumn="1" w:lastColumn="0" w:noHBand="0" w:noVBand="1"/>
      </w:tblPr>
      <w:tblGrid>
        <w:gridCol w:w="4361"/>
        <w:gridCol w:w="4881"/>
      </w:tblGrid>
      <w:tr w:rsidR="004F33BB" w:rsidRPr="004F33BB" w14:paraId="726822DC" w14:textId="77777777" w:rsidTr="007B44BE">
        <w:tc>
          <w:tcPr>
            <w:tcW w:w="4361" w:type="dxa"/>
            <w:shd w:val="clear" w:color="auto" w:fill="D9D9D9" w:themeFill="background1" w:themeFillShade="D9"/>
          </w:tcPr>
          <w:p w14:paraId="4BAB0CF3" w14:textId="77777777" w:rsidR="004F33BB" w:rsidRPr="004F33BB" w:rsidRDefault="004F33BB" w:rsidP="007B44BE">
            <w:pPr>
              <w:pStyle w:val="Default"/>
              <w:spacing w:line="288" w:lineRule="auto"/>
              <w:rPr>
                <w:rFonts w:asciiTheme="minorHAnsi" w:hAnsiTheme="minorHAnsi" w:cstheme="minorHAnsi"/>
                <w:b/>
                <w:bCs/>
              </w:rPr>
            </w:pPr>
            <w:r w:rsidRPr="004F33BB">
              <w:rPr>
                <w:rFonts w:asciiTheme="minorHAnsi" w:hAnsiTheme="minorHAnsi" w:cstheme="minorHAnsi"/>
                <w:b/>
                <w:bCs/>
              </w:rPr>
              <w:t xml:space="preserve">The main contributing factors to disability/poor health </w:t>
            </w:r>
          </w:p>
        </w:tc>
        <w:tc>
          <w:tcPr>
            <w:tcW w:w="4881" w:type="dxa"/>
            <w:shd w:val="clear" w:color="auto" w:fill="D9D9D9" w:themeFill="background1" w:themeFillShade="D9"/>
          </w:tcPr>
          <w:p w14:paraId="7C1CA80E" w14:textId="77777777" w:rsidR="004F33BB" w:rsidRPr="004F33BB" w:rsidRDefault="004F33BB" w:rsidP="007B44BE">
            <w:pPr>
              <w:pStyle w:val="Default"/>
              <w:spacing w:line="288" w:lineRule="auto"/>
              <w:rPr>
                <w:rFonts w:asciiTheme="minorHAnsi" w:hAnsiTheme="minorHAnsi" w:cstheme="minorHAnsi"/>
                <w:b/>
                <w:bCs/>
              </w:rPr>
            </w:pPr>
            <w:r w:rsidRPr="004F33BB">
              <w:rPr>
                <w:rFonts w:asciiTheme="minorHAnsi" w:hAnsiTheme="minorHAnsi" w:cstheme="minorHAnsi"/>
                <w:b/>
                <w:bCs/>
              </w:rPr>
              <w:t xml:space="preserve">Alignment to green plan ambitions </w:t>
            </w:r>
          </w:p>
        </w:tc>
      </w:tr>
      <w:tr w:rsidR="004F33BB" w:rsidRPr="004F33BB" w14:paraId="197B262D" w14:textId="77777777" w:rsidTr="007B44BE">
        <w:tc>
          <w:tcPr>
            <w:tcW w:w="4361" w:type="dxa"/>
            <w:shd w:val="clear" w:color="auto" w:fill="FAF9F9" w:themeFill="background2" w:themeFillTint="33"/>
          </w:tcPr>
          <w:p w14:paraId="200E42D7"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 xml:space="preserve">Musculoskeletal disease  </w:t>
            </w:r>
          </w:p>
        </w:tc>
        <w:tc>
          <w:tcPr>
            <w:tcW w:w="4881" w:type="dxa"/>
            <w:shd w:val="clear" w:color="auto" w:fill="FAF9F9" w:themeFill="background2" w:themeFillTint="33"/>
          </w:tcPr>
          <w:p w14:paraId="5E2701C1"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Active travel &amp; green social prescribing</w:t>
            </w:r>
          </w:p>
        </w:tc>
      </w:tr>
      <w:tr w:rsidR="004F33BB" w:rsidRPr="004F33BB" w14:paraId="55D10315" w14:textId="77777777" w:rsidTr="007B44BE">
        <w:tc>
          <w:tcPr>
            <w:tcW w:w="4361" w:type="dxa"/>
            <w:shd w:val="clear" w:color="auto" w:fill="FAF9F9" w:themeFill="background2" w:themeFillTint="33"/>
          </w:tcPr>
          <w:p w14:paraId="247456C1"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lastRenderedPageBreak/>
              <w:t xml:space="preserve">Cardiovascular disease and stroke </w:t>
            </w:r>
          </w:p>
        </w:tc>
        <w:tc>
          <w:tcPr>
            <w:tcW w:w="4881" w:type="dxa"/>
            <w:shd w:val="clear" w:color="auto" w:fill="FAF9F9" w:themeFill="background2" w:themeFillTint="33"/>
          </w:tcPr>
          <w:p w14:paraId="1E30EBC1"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Active travel, nutrition, preventative models of care</w:t>
            </w:r>
          </w:p>
        </w:tc>
      </w:tr>
      <w:tr w:rsidR="004F33BB" w:rsidRPr="004F33BB" w14:paraId="7A7FF8B6" w14:textId="77777777" w:rsidTr="007B44BE">
        <w:tc>
          <w:tcPr>
            <w:tcW w:w="4361" w:type="dxa"/>
            <w:shd w:val="clear" w:color="auto" w:fill="FAF9F9" w:themeFill="background2" w:themeFillTint="33"/>
          </w:tcPr>
          <w:p w14:paraId="4E7030C4"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 xml:space="preserve">Respiratory diseases including COPD </w:t>
            </w:r>
          </w:p>
        </w:tc>
        <w:tc>
          <w:tcPr>
            <w:tcW w:w="4881" w:type="dxa"/>
            <w:shd w:val="clear" w:color="auto" w:fill="FAF9F9" w:themeFill="background2" w:themeFillTint="33"/>
          </w:tcPr>
          <w:p w14:paraId="410BBDDF"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Targeting air pollution</w:t>
            </w:r>
          </w:p>
        </w:tc>
      </w:tr>
      <w:tr w:rsidR="004F33BB" w:rsidRPr="004F33BB" w14:paraId="4D697E21" w14:textId="77777777" w:rsidTr="007B44BE">
        <w:tc>
          <w:tcPr>
            <w:tcW w:w="4361" w:type="dxa"/>
            <w:shd w:val="clear" w:color="auto" w:fill="FAF9F9" w:themeFill="background2" w:themeFillTint="33"/>
          </w:tcPr>
          <w:p w14:paraId="1A75631E"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 xml:space="preserve">Depression and mental health problems </w:t>
            </w:r>
          </w:p>
        </w:tc>
        <w:tc>
          <w:tcPr>
            <w:tcW w:w="4881" w:type="dxa"/>
            <w:shd w:val="clear" w:color="auto" w:fill="FAF9F9" w:themeFill="background2" w:themeFillTint="33"/>
          </w:tcPr>
          <w:p w14:paraId="24683943"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Green social prescribing</w:t>
            </w:r>
          </w:p>
        </w:tc>
      </w:tr>
      <w:tr w:rsidR="004F33BB" w:rsidRPr="004F33BB" w14:paraId="1B36104D" w14:textId="77777777" w:rsidTr="007B44BE">
        <w:tc>
          <w:tcPr>
            <w:tcW w:w="4361" w:type="dxa"/>
            <w:shd w:val="clear" w:color="auto" w:fill="FAF9F9" w:themeFill="background2" w:themeFillTint="33"/>
          </w:tcPr>
          <w:p w14:paraId="63189A11"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 xml:space="preserve">Cancers and particularly lung cancer </w:t>
            </w:r>
          </w:p>
        </w:tc>
        <w:tc>
          <w:tcPr>
            <w:tcW w:w="4881" w:type="dxa"/>
            <w:shd w:val="clear" w:color="auto" w:fill="FAF9F9" w:themeFill="background2" w:themeFillTint="33"/>
          </w:tcPr>
          <w:p w14:paraId="41DB7576"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Targeting air pollution, healthy lifestyle choices</w:t>
            </w:r>
          </w:p>
        </w:tc>
      </w:tr>
      <w:tr w:rsidR="004F33BB" w:rsidRPr="004F33BB" w14:paraId="343B65FB" w14:textId="77777777" w:rsidTr="007B44BE">
        <w:tc>
          <w:tcPr>
            <w:tcW w:w="4361" w:type="dxa"/>
            <w:shd w:val="clear" w:color="auto" w:fill="FAF9F9" w:themeFill="background2" w:themeFillTint="33"/>
          </w:tcPr>
          <w:p w14:paraId="041C2B0D"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 xml:space="preserve">Alcohol and drug misuse </w:t>
            </w:r>
          </w:p>
        </w:tc>
        <w:tc>
          <w:tcPr>
            <w:tcW w:w="4881" w:type="dxa"/>
            <w:shd w:val="clear" w:color="auto" w:fill="FAF9F9" w:themeFill="background2" w:themeFillTint="33"/>
          </w:tcPr>
          <w:p w14:paraId="47AC335E" w14:textId="77777777" w:rsidR="004F33BB" w:rsidRPr="004F33BB" w:rsidRDefault="004F33BB" w:rsidP="007B44BE">
            <w:pPr>
              <w:pStyle w:val="Default"/>
              <w:spacing w:line="288" w:lineRule="auto"/>
              <w:rPr>
                <w:rFonts w:asciiTheme="minorHAnsi" w:hAnsiTheme="minorHAnsi" w:cstheme="minorHAnsi"/>
              </w:rPr>
            </w:pPr>
            <w:r w:rsidRPr="004F33BB">
              <w:rPr>
                <w:rFonts w:asciiTheme="minorHAnsi" w:hAnsiTheme="minorHAnsi" w:cstheme="minorHAnsi"/>
              </w:rPr>
              <w:t xml:space="preserve">Green social prescribing </w:t>
            </w:r>
          </w:p>
        </w:tc>
      </w:tr>
    </w:tbl>
    <w:p w14:paraId="65C416F0" w14:textId="77777777" w:rsidR="004F33BB" w:rsidRPr="004F33BB" w:rsidRDefault="004F33BB" w:rsidP="004F33BB">
      <w:pPr>
        <w:pStyle w:val="Default"/>
        <w:spacing w:line="288" w:lineRule="auto"/>
        <w:rPr>
          <w:rFonts w:asciiTheme="minorHAnsi" w:hAnsiTheme="minorHAnsi" w:cstheme="minorHAnsi"/>
        </w:rPr>
      </w:pPr>
    </w:p>
    <w:p w14:paraId="2EB0DD57" w14:textId="77777777" w:rsidR="004F33BB" w:rsidRPr="004F33BB" w:rsidRDefault="004F33BB" w:rsidP="004F33BB">
      <w:pPr>
        <w:pStyle w:val="Default"/>
        <w:spacing w:line="288" w:lineRule="auto"/>
        <w:rPr>
          <w:rFonts w:asciiTheme="minorHAnsi" w:hAnsiTheme="minorHAnsi" w:cstheme="minorHAnsi"/>
        </w:rPr>
      </w:pPr>
      <w:r w:rsidRPr="004F33BB">
        <w:rPr>
          <w:rFonts w:asciiTheme="minorHAnsi" w:hAnsiTheme="minorHAnsi" w:cstheme="minorHAnsi"/>
        </w:rPr>
        <w:t xml:space="preserve">Making a significant improvement in the health and wellbeing of our population will mean: </w:t>
      </w:r>
    </w:p>
    <w:p w14:paraId="52281883" w14:textId="77777777" w:rsidR="004F33BB" w:rsidRPr="004F33BB" w:rsidRDefault="004F33BB" w:rsidP="004F33BB">
      <w:pPr>
        <w:pStyle w:val="Default"/>
        <w:numPr>
          <w:ilvl w:val="0"/>
          <w:numId w:val="14"/>
        </w:numPr>
        <w:spacing w:line="288" w:lineRule="auto"/>
        <w:rPr>
          <w:rFonts w:asciiTheme="minorHAnsi" w:hAnsiTheme="minorHAnsi" w:cstheme="minorHAnsi"/>
        </w:rPr>
      </w:pPr>
      <w:r w:rsidRPr="004F33BB">
        <w:rPr>
          <w:rFonts w:asciiTheme="minorHAnsi" w:hAnsiTheme="minorHAnsi" w:cstheme="minorHAnsi"/>
        </w:rPr>
        <w:t xml:space="preserve">Addressing the major health threats of cardiovascular/cerebrovascular, respiratory, mental health, musculoskeletal </w:t>
      </w:r>
      <w:proofErr w:type="gramStart"/>
      <w:r w:rsidRPr="004F33BB">
        <w:rPr>
          <w:rFonts w:asciiTheme="minorHAnsi" w:hAnsiTheme="minorHAnsi" w:cstheme="minorHAnsi"/>
        </w:rPr>
        <w:t>diseases</w:t>
      </w:r>
      <w:proofErr w:type="gramEnd"/>
      <w:r w:rsidRPr="004F33BB">
        <w:rPr>
          <w:rFonts w:asciiTheme="minorHAnsi" w:hAnsiTheme="minorHAnsi" w:cstheme="minorHAnsi"/>
        </w:rPr>
        <w:t xml:space="preserve"> and cancer. </w:t>
      </w:r>
    </w:p>
    <w:p w14:paraId="6741457C" w14:textId="77777777" w:rsidR="004F33BB" w:rsidRPr="004F33BB" w:rsidRDefault="004F33BB" w:rsidP="004F33BB">
      <w:pPr>
        <w:pStyle w:val="Default"/>
        <w:numPr>
          <w:ilvl w:val="0"/>
          <w:numId w:val="14"/>
        </w:numPr>
        <w:spacing w:line="288" w:lineRule="auto"/>
        <w:rPr>
          <w:rFonts w:asciiTheme="minorHAnsi" w:hAnsiTheme="minorHAnsi" w:cstheme="minorHAnsi"/>
        </w:rPr>
      </w:pPr>
      <w:r w:rsidRPr="004F33BB">
        <w:rPr>
          <w:rFonts w:asciiTheme="minorHAnsi" w:hAnsiTheme="minorHAnsi" w:cstheme="minorHAnsi"/>
        </w:rPr>
        <w:t xml:space="preserve">Addressing the gross inequalities in our system by deprivation and between groups, such as those with learning disabilities and serious mental health issues. </w:t>
      </w:r>
    </w:p>
    <w:p w14:paraId="4E139577" w14:textId="77777777" w:rsidR="004F33BB" w:rsidRPr="004F33BB" w:rsidRDefault="004F33BB" w:rsidP="004F33BB">
      <w:pPr>
        <w:pStyle w:val="Default"/>
        <w:spacing w:line="288" w:lineRule="auto"/>
        <w:rPr>
          <w:rFonts w:asciiTheme="minorHAnsi" w:hAnsiTheme="minorHAnsi" w:cstheme="minorHAnsi"/>
        </w:rPr>
      </w:pPr>
    </w:p>
    <w:p w14:paraId="6059D3E4" w14:textId="77777777" w:rsidR="004F33BB" w:rsidRPr="004F33BB" w:rsidRDefault="004F33BB" w:rsidP="004F33BB">
      <w:pPr>
        <w:pStyle w:val="Default"/>
        <w:spacing w:line="288" w:lineRule="auto"/>
        <w:rPr>
          <w:rFonts w:asciiTheme="minorHAnsi" w:hAnsiTheme="minorHAnsi" w:cstheme="minorHAnsi"/>
        </w:rPr>
      </w:pPr>
      <w:r w:rsidRPr="004F33BB">
        <w:rPr>
          <w:rFonts w:asciiTheme="minorHAnsi" w:hAnsiTheme="minorHAnsi" w:cstheme="minorHAnsi"/>
        </w:rPr>
        <w:t xml:space="preserve">As one of our key system objectives, a sustainable approach to health and care delivery, will be part of addressing the wider determinants of health </w:t>
      </w:r>
      <w:proofErr w:type="gramStart"/>
      <w:r w:rsidRPr="004F33BB">
        <w:rPr>
          <w:rFonts w:asciiTheme="minorHAnsi" w:hAnsiTheme="minorHAnsi" w:cstheme="minorHAnsi"/>
        </w:rPr>
        <w:t>outcomes</w:t>
      </w:r>
      <w:proofErr w:type="gramEnd"/>
    </w:p>
    <w:p w14:paraId="243EC3E3" w14:textId="77777777" w:rsidR="00606DF2" w:rsidRDefault="00606DF2" w:rsidP="000D485B">
      <w:pPr>
        <w:pStyle w:val="Heading3"/>
        <w:numPr>
          <w:ilvl w:val="0"/>
          <w:numId w:val="13"/>
        </w:numPr>
        <w:spacing w:before="320"/>
        <w:rPr>
          <w:rFonts w:eastAsiaTheme="minorHAnsi"/>
        </w:rPr>
      </w:pPr>
      <w:r>
        <w:rPr>
          <w:rFonts w:eastAsiaTheme="minorHAnsi"/>
        </w:rPr>
        <w:t xml:space="preserve">How does this impact on Equality and Diversity? </w:t>
      </w:r>
    </w:p>
    <w:p w14:paraId="4E915DA7" w14:textId="3EDADDC1" w:rsidR="00F64251" w:rsidRDefault="00F64251" w:rsidP="00F64251">
      <w:pPr>
        <w:pStyle w:val="BodyText1"/>
        <w:rPr>
          <w:color w:val="auto"/>
          <w:sz w:val="22"/>
        </w:rPr>
      </w:pPr>
      <w:r>
        <w:rPr>
          <w:color w:val="auto"/>
          <w:sz w:val="22"/>
        </w:rPr>
        <w:t xml:space="preserve">The EIA produced for the Green Plan has identified there are potential positive and negative impacts on protected characteristics Age, Disability and Race </w:t>
      </w:r>
      <w:proofErr w:type="gramStart"/>
      <w:r>
        <w:rPr>
          <w:color w:val="auto"/>
          <w:sz w:val="22"/>
        </w:rPr>
        <w:t>groups</w:t>
      </w:r>
      <w:proofErr w:type="gramEnd"/>
    </w:p>
    <w:p w14:paraId="39C2B44C" w14:textId="77777777" w:rsidR="00F64251" w:rsidRDefault="00F64251" w:rsidP="00F64251">
      <w:pPr>
        <w:rPr>
          <w:sz w:val="22"/>
        </w:rPr>
      </w:pPr>
      <w:r>
        <w:rPr>
          <w:sz w:val="22"/>
        </w:rPr>
        <w:t xml:space="preserve">Age and Disability </w:t>
      </w:r>
    </w:p>
    <w:p w14:paraId="7D8B9F46" w14:textId="77777777" w:rsidR="00F64251" w:rsidRDefault="00F64251" w:rsidP="00F64251">
      <w:pPr>
        <w:rPr>
          <w:sz w:val="22"/>
        </w:rPr>
      </w:pPr>
      <w:r>
        <w:rPr>
          <w:sz w:val="22"/>
        </w:rPr>
        <w:t xml:space="preserve">Positive - upskilling workforce </w:t>
      </w:r>
    </w:p>
    <w:p w14:paraId="706A2E32" w14:textId="77777777" w:rsidR="00F64251" w:rsidRDefault="00F64251" w:rsidP="00F64251">
      <w:pPr>
        <w:rPr>
          <w:rFonts w:cs="Arial"/>
          <w:sz w:val="22"/>
        </w:rPr>
      </w:pPr>
      <w:r w:rsidRPr="001E331E">
        <w:rPr>
          <w:rFonts w:cs="Arial"/>
          <w:sz w:val="22"/>
        </w:rPr>
        <w:t>Negative –some key actions, particularly related to active travel, may not be suitable for elderly people</w:t>
      </w:r>
      <w:r>
        <w:rPr>
          <w:rFonts w:cs="Arial"/>
          <w:sz w:val="22"/>
        </w:rPr>
        <w:t xml:space="preserve"> or those with certain disabilities</w:t>
      </w:r>
      <w:r w:rsidRPr="001E331E">
        <w:rPr>
          <w:rFonts w:cs="Arial"/>
          <w:sz w:val="22"/>
        </w:rPr>
        <w:t>. Risk of staff feeling excluded from action plans.</w:t>
      </w:r>
    </w:p>
    <w:p w14:paraId="347B386A" w14:textId="77777777" w:rsidR="00F64251" w:rsidRDefault="00F64251" w:rsidP="00F64251">
      <w:pPr>
        <w:rPr>
          <w:rFonts w:cs="Arial"/>
          <w:sz w:val="22"/>
        </w:rPr>
      </w:pPr>
      <w:r w:rsidRPr="001E331E">
        <w:rPr>
          <w:rFonts w:cs="Arial"/>
          <w:sz w:val="22"/>
        </w:rPr>
        <w:t xml:space="preserve">Race </w:t>
      </w:r>
    </w:p>
    <w:p w14:paraId="763004E9" w14:textId="77777777" w:rsidR="00F64251" w:rsidRPr="001E331E" w:rsidRDefault="00F64251" w:rsidP="00F64251">
      <w:pPr>
        <w:rPr>
          <w:rFonts w:cs="Arial"/>
          <w:sz w:val="22"/>
        </w:rPr>
      </w:pPr>
      <w:r w:rsidRPr="001E331E">
        <w:rPr>
          <w:rFonts w:cs="Arial"/>
          <w:sz w:val="22"/>
        </w:rPr>
        <w:t xml:space="preserve">Positive – the themes outlined in the ICS Green Plan are inclusive of all races and the Plan will harness the cultural diversity of our staff and patients to deliver innovative solutions to reduce our impact. </w:t>
      </w:r>
    </w:p>
    <w:p w14:paraId="16ED95FD" w14:textId="2B3946A6" w:rsidR="00606DF2" w:rsidRDefault="00F64251" w:rsidP="00F64251">
      <w:pPr>
        <w:rPr>
          <w:color w:val="FF0000"/>
        </w:rPr>
      </w:pPr>
      <w:r w:rsidRPr="001E331E">
        <w:rPr>
          <w:rFonts w:cs="Arial"/>
          <w:sz w:val="22"/>
        </w:rPr>
        <w:t xml:space="preserve">Negative – Sustainability is practiced in unique ways across various cultures and therefore the ICS Green Plan could risk alienating staff and patients. </w:t>
      </w:r>
      <w:r w:rsidR="00606DF2">
        <w:rPr>
          <w:color w:val="FF0000"/>
        </w:rPr>
        <w:br w:type="page"/>
      </w:r>
    </w:p>
    <w:p w14:paraId="339FB911" w14:textId="77777777" w:rsidR="00606DF2" w:rsidRDefault="00606DF2" w:rsidP="000D485B">
      <w:pPr>
        <w:pStyle w:val="Heading3"/>
        <w:numPr>
          <w:ilvl w:val="0"/>
          <w:numId w:val="13"/>
        </w:numPr>
        <w:spacing w:before="0"/>
        <w:rPr>
          <w:rFonts w:eastAsiaTheme="minorHAnsi"/>
        </w:rPr>
      </w:pPr>
      <w:r>
        <w:rPr>
          <w:rFonts w:eastAsiaTheme="minorHAnsi"/>
        </w:rPr>
        <w:lastRenderedPageBreak/>
        <w:t>Consultation and Communication including Public Involvement</w:t>
      </w:r>
    </w:p>
    <w:p w14:paraId="707E1CF8" w14:textId="2C87E4F0" w:rsidR="003848FB" w:rsidRPr="003848FB" w:rsidRDefault="003848FB" w:rsidP="009B3BE6">
      <w:pPr>
        <w:pStyle w:val="Subtitle"/>
        <w:rPr>
          <w:rFonts w:ascii="Arial" w:hAnsi="Arial" w:cs="Arial"/>
          <w:color w:val="auto"/>
          <w:szCs w:val="24"/>
        </w:rPr>
      </w:pPr>
      <w:r w:rsidRPr="003848FB">
        <w:rPr>
          <w:rFonts w:ascii="Arial" w:hAnsi="Arial" w:cs="Arial"/>
          <w:color w:val="auto"/>
          <w:szCs w:val="24"/>
        </w:rPr>
        <w:t>An ICS Green Plan communications and engagement group has been established that is developing a comprehensive communications strategy and plan.</w:t>
      </w:r>
    </w:p>
    <w:p w14:paraId="1E68EB27" w14:textId="2A2D67D7" w:rsidR="003848FB" w:rsidRPr="003848FB" w:rsidRDefault="003848FB" w:rsidP="003848FB">
      <w:pPr>
        <w:rPr>
          <w:szCs w:val="24"/>
        </w:rPr>
      </w:pPr>
      <w:r w:rsidRPr="003848FB">
        <w:rPr>
          <w:szCs w:val="24"/>
        </w:rPr>
        <w:t>There has been no public involvement in the writing of this p</w:t>
      </w:r>
      <w:r w:rsidR="00FA09BE">
        <w:rPr>
          <w:szCs w:val="24"/>
        </w:rPr>
        <w:t>aper</w:t>
      </w:r>
      <w:r w:rsidRPr="003848FB">
        <w:rPr>
          <w:szCs w:val="24"/>
        </w:rPr>
        <w:t>. However existing evidence from the public and feedback on the Green Plan has been used.</w:t>
      </w:r>
    </w:p>
    <w:p w14:paraId="406B714A" w14:textId="77777777" w:rsidR="003848FB" w:rsidRDefault="003848FB" w:rsidP="009B3BE6">
      <w:pPr>
        <w:pStyle w:val="Subtitle"/>
      </w:pPr>
    </w:p>
    <w:p w14:paraId="3325C15E" w14:textId="59B69E6B" w:rsidR="00606DF2" w:rsidRDefault="00606DF2" w:rsidP="009B3BE6">
      <w:pPr>
        <w:pStyle w:val="Subtitle"/>
      </w:pPr>
      <w:r>
        <w:t>Appendices</w:t>
      </w:r>
      <w:r w:rsidR="00223249">
        <w:t xml:space="preserve"> </w:t>
      </w:r>
    </w:p>
    <w:p w14:paraId="559199E7" w14:textId="362ECFCE" w:rsidR="00810EA1" w:rsidRPr="00AA361B" w:rsidRDefault="00AA361B" w:rsidP="00AA361B">
      <w:r>
        <w:t>Appendix 1</w:t>
      </w:r>
      <w:r w:rsidR="00810EA1">
        <w:t xml:space="preserve"> North Bristol NHS Trust </w:t>
      </w:r>
      <w:r w:rsidR="004612B6">
        <w:t>Green Plan Annual Report</w:t>
      </w:r>
    </w:p>
    <w:p w14:paraId="4A780D23" w14:textId="77777777" w:rsidR="00606DF2" w:rsidRDefault="00606DF2" w:rsidP="00606DF2">
      <w:pPr>
        <w:pStyle w:val="Heading3"/>
        <w:numPr>
          <w:ilvl w:val="0"/>
          <w:numId w:val="0"/>
        </w:numPr>
        <w:spacing w:before="320"/>
        <w:rPr>
          <w:rFonts w:eastAsiaTheme="minorHAnsi"/>
          <w:sz w:val="24"/>
          <w:szCs w:val="24"/>
        </w:rPr>
      </w:pPr>
      <w:r>
        <w:rPr>
          <w:rFonts w:eastAsiaTheme="minorHAnsi"/>
          <w:sz w:val="24"/>
          <w:szCs w:val="24"/>
        </w:rPr>
        <w:t>Glossary of terms and abbreviations</w:t>
      </w:r>
    </w:p>
    <w:tbl>
      <w:tblPr>
        <w:tblStyle w:val="TableGrid"/>
        <w:tblW w:w="10165" w:type="dxa"/>
        <w:tblLook w:val="04A0" w:firstRow="1" w:lastRow="0" w:firstColumn="1" w:lastColumn="0" w:noHBand="0" w:noVBand="1"/>
      </w:tblPr>
      <w:tblGrid>
        <w:gridCol w:w="2785"/>
        <w:gridCol w:w="7380"/>
      </w:tblGrid>
      <w:tr w:rsidR="00D5170B" w:rsidRPr="00637CAD" w14:paraId="7988E43A" w14:textId="77777777" w:rsidTr="007B44BE">
        <w:trPr>
          <w:trHeight w:val="2549"/>
        </w:trPr>
        <w:tc>
          <w:tcPr>
            <w:tcW w:w="2785" w:type="dxa"/>
          </w:tcPr>
          <w:p w14:paraId="4C28511D" w14:textId="77777777" w:rsidR="00D5170B" w:rsidRPr="00637CAD" w:rsidRDefault="00D5170B" w:rsidP="007B44BE">
            <w:pPr>
              <w:spacing w:before="40" w:line="240" w:lineRule="auto"/>
              <w:ind w:right="144"/>
            </w:pPr>
            <w:r w:rsidRPr="00637CAD">
              <w:t>Net zero</w:t>
            </w:r>
          </w:p>
          <w:p w14:paraId="41BC951C" w14:textId="77777777" w:rsidR="00D5170B" w:rsidRPr="00637CAD" w:rsidRDefault="00D5170B" w:rsidP="007B44BE">
            <w:pPr>
              <w:spacing w:before="80" w:after="320" w:line="240" w:lineRule="exact"/>
              <w:rPr>
                <w:b/>
              </w:rPr>
            </w:pPr>
          </w:p>
        </w:tc>
        <w:tc>
          <w:tcPr>
            <w:tcW w:w="7380" w:type="dxa"/>
          </w:tcPr>
          <w:p w14:paraId="7AB12943" w14:textId="163E8ADF" w:rsidR="00D5170B" w:rsidRPr="00395010" w:rsidRDefault="00121B5B" w:rsidP="007B44BE">
            <w:pPr>
              <w:spacing w:before="40" w:line="240" w:lineRule="auto"/>
              <w:ind w:right="144"/>
              <w:rPr>
                <w:bCs/>
              </w:rPr>
            </w:pPr>
            <w:r>
              <w:rPr>
                <w:bCs/>
              </w:rPr>
              <w:t>Achieving a zero level of carbon emission</w:t>
            </w:r>
            <w:r w:rsidR="003848FB">
              <w:rPr>
                <w:bCs/>
              </w:rPr>
              <w:t xml:space="preserve">s based on reduction and offsetting. </w:t>
            </w:r>
            <w:r w:rsidR="00395010">
              <w:rPr>
                <w:bCs/>
              </w:rPr>
              <w:t xml:space="preserve">This follows the </w:t>
            </w:r>
            <w:r w:rsidR="00C40812">
              <w:rPr>
                <w:bCs/>
              </w:rPr>
              <w:t xml:space="preserve">Science based targets initiative definition of reducing carbon emissions from our baseline of </w:t>
            </w:r>
            <w:r w:rsidR="00716DA2">
              <w:rPr>
                <w:bCs/>
              </w:rPr>
              <w:t>2019/20 by at least 90% and offsetting the remaining emissions.</w:t>
            </w:r>
          </w:p>
        </w:tc>
      </w:tr>
      <w:tr w:rsidR="00D5170B" w:rsidRPr="00637CAD" w14:paraId="35C82D5A" w14:textId="77777777" w:rsidTr="007B44BE">
        <w:trPr>
          <w:trHeight w:val="1259"/>
        </w:trPr>
        <w:tc>
          <w:tcPr>
            <w:tcW w:w="2785" w:type="dxa"/>
          </w:tcPr>
          <w:p w14:paraId="13A86CB3" w14:textId="77777777" w:rsidR="00D5170B" w:rsidRPr="00637CAD" w:rsidRDefault="00D5170B" w:rsidP="007B44BE">
            <w:pPr>
              <w:pStyle w:val="BodyText1"/>
              <w:spacing w:before="40"/>
              <w:rPr>
                <w:color w:val="auto"/>
                <w:lang w:val="en"/>
              </w:rPr>
            </w:pPr>
            <w:r w:rsidRPr="00637CAD">
              <w:rPr>
                <w:color w:val="auto"/>
                <w:lang w:val="en"/>
              </w:rPr>
              <w:t>Adaptation</w:t>
            </w:r>
          </w:p>
          <w:p w14:paraId="3F5ECA99" w14:textId="77777777" w:rsidR="00D5170B" w:rsidRPr="00637CAD" w:rsidRDefault="00D5170B" w:rsidP="007B44BE">
            <w:pPr>
              <w:spacing w:before="40" w:after="320"/>
              <w:rPr>
                <w:b/>
                <w:bCs/>
              </w:rPr>
            </w:pPr>
          </w:p>
        </w:tc>
        <w:tc>
          <w:tcPr>
            <w:tcW w:w="7380" w:type="dxa"/>
          </w:tcPr>
          <w:p w14:paraId="328F1292" w14:textId="77777777" w:rsidR="00D5170B" w:rsidRPr="00637CAD" w:rsidRDefault="00D5170B" w:rsidP="007B44BE">
            <w:pPr>
              <w:pStyle w:val="BodyText1"/>
              <w:spacing w:before="40"/>
              <w:rPr>
                <w:color w:val="auto"/>
                <w:lang w:val="en"/>
              </w:rPr>
            </w:pPr>
            <w:r w:rsidRPr="00637CAD">
              <w:rPr>
                <w:color w:val="auto"/>
                <w:lang w:val="en"/>
              </w:rPr>
              <w:t xml:space="preserve">Adaptation is actions to adjust to climate change, and the extreme weather that it makes increasingly likely. This includes making homes more resilient to extreme heat and cold </w:t>
            </w:r>
            <w:proofErr w:type="gramStart"/>
            <w:r w:rsidRPr="00637CAD">
              <w:rPr>
                <w:color w:val="auto"/>
                <w:lang w:val="en"/>
              </w:rPr>
              <w:t>weather, and</w:t>
            </w:r>
            <w:proofErr w:type="gramEnd"/>
            <w:r w:rsidRPr="00637CAD">
              <w:rPr>
                <w:color w:val="auto"/>
                <w:lang w:val="en"/>
              </w:rPr>
              <w:t xml:space="preserve"> adapting our landscapes to better cope with flooding or drought events, for example.</w:t>
            </w:r>
          </w:p>
        </w:tc>
      </w:tr>
      <w:tr w:rsidR="00D5170B" w14:paraId="5EDEA46C" w14:textId="77777777" w:rsidTr="007B44BE">
        <w:trPr>
          <w:trHeight w:val="1259"/>
        </w:trPr>
        <w:tc>
          <w:tcPr>
            <w:tcW w:w="2785" w:type="dxa"/>
          </w:tcPr>
          <w:p w14:paraId="5B80A604" w14:textId="77777777" w:rsidR="00D5170B" w:rsidRPr="003C79DF" w:rsidRDefault="00D5170B" w:rsidP="007B44BE">
            <w:pPr>
              <w:spacing w:before="40" w:after="320"/>
            </w:pPr>
            <w:r w:rsidRPr="003C79DF">
              <w:t xml:space="preserve">Anchor </w:t>
            </w:r>
            <w:proofErr w:type="gramStart"/>
            <w:r w:rsidRPr="003C79DF">
              <w:t>institution</w:t>
            </w:r>
            <w:proofErr w:type="gramEnd"/>
          </w:p>
          <w:p w14:paraId="716DDCDD" w14:textId="77777777" w:rsidR="00D5170B" w:rsidRPr="00637CAD" w:rsidRDefault="00D5170B" w:rsidP="007B44BE">
            <w:pPr>
              <w:spacing w:before="40" w:after="320"/>
              <w:rPr>
                <w:lang w:val="en"/>
              </w:rPr>
            </w:pPr>
          </w:p>
        </w:tc>
        <w:tc>
          <w:tcPr>
            <w:tcW w:w="7380" w:type="dxa"/>
          </w:tcPr>
          <w:p w14:paraId="1EBEFC54" w14:textId="77777777" w:rsidR="00D5170B" w:rsidRDefault="00D5170B" w:rsidP="007B44BE">
            <w:r>
              <w:t>R</w:t>
            </w:r>
            <w:r w:rsidRPr="00A33D90">
              <w:t xml:space="preserve">efers to large, typically non-profit, public-sector organisations whose long-term sustainability </w:t>
            </w:r>
            <w:bookmarkStart w:id="0" w:name="_Hlk126335721"/>
            <w:r w:rsidRPr="00A33D90">
              <w:t>is tied to the wellbeing of the populations they serve. Anchors get their name because they are unlikely to relocate, given their connection to the local population, and have a significant influence on the health and wellbeing of communities.</w:t>
            </w:r>
            <w:bookmarkEnd w:id="0"/>
          </w:p>
          <w:p w14:paraId="1FE2E7AD" w14:textId="77777777" w:rsidR="00D5170B" w:rsidRDefault="00D5170B" w:rsidP="007B44BE">
            <w:pPr>
              <w:pStyle w:val="BodyText1"/>
              <w:spacing w:before="40"/>
              <w:rPr>
                <w:color w:val="auto"/>
                <w:lang w:val="en"/>
              </w:rPr>
            </w:pPr>
          </w:p>
        </w:tc>
      </w:tr>
      <w:tr w:rsidR="00D5170B" w:rsidRPr="00637CAD" w14:paraId="17A4C027" w14:textId="77777777" w:rsidTr="007B44BE">
        <w:trPr>
          <w:trHeight w:val="1259"/>
        </w:trPr>
        <w:tc>
          <w:tcPr>
            <w:tcW w:w="2785" w:type="dxa"/>
          </w:tcPr>
          <w:p w14:paraId="1E56B581" w14:textId="77777777" w:rsidR="00D5170B" w:rsidRPr="00637CAD" w:rsidRDefault="00D5170B" w:rsidP="007B44BE">
            <w:pPr>
              <w:spacing w:before="40" w:after="320"/>
              <w:rPr>
                <w:b/>
                <w:bCs/>
              </w:rPr>
            </w:pPr>
            <w:r w:rsidRPr="00637CAD">
              <w:rPr>
                <w:lang w:val="en"/>
              </w:rPr>
              <w:t>Carbon footprint</w:t>
            </w:r>
          </w:p>
        </w:tc>
        <w:tc>
          <w:tcPr>
            <w:tcW w:w="7380" w:type="dxa"/>
          </w:tcPr>
          <w:p w14:paraId="7F7DC969" w14:textId="77777777" w:rsidR="00D5170B" w:rsidRPr="00637CAD" w:rsidRDefault="00D5170B" w:rsidP="007B44BE">
            <w:pPr>
              <w:pStyle w:val="BodyText1"/>
              <w:spacing w:before="40"/>
              <w:rPr>
                <w:color w:val="auto"/>
                <w:lang w:val="en"/>
              </w:rPr>
            </w:pPr>
            <w:r>
              <w:rPr>
                <w:color w:val="auto"/>
                <w:lang w:val="en"/>
              </w:rPr>
              <w:t>C</w:t>
            </w:r>
            <w:r w:rsidRPr="00637CAD">
              <w:rPr>
                <w:color w:val="auto"/>
                <w:lang w:val="en"/>
              </w:rPr>
              <w:t>arbon footprint refers to emissions that are associated with the consumption spending of UK or England’s residents on goods and services, wherever in the world these emissions arise along the supply chain, and those that are directly generated by UK or England’s households through private motoring and burning fuel to heat homes.</w:t>
            </w:r>
          </w:p>
        </w:tc>
      </w:tr>
      <w:tr w:rsidR="00D5170B" w14:paraId="007FD1A9" w14:textId="77777777" w:rsidTr="007B44BE">
        <w:trPr>
          <w:trHeight w:val="1259"/>
        </w:trPr>
        <w:tc>
          <w:tcPr>
            <w:tcW w:w="2785" w:type="dxa"/>
          </w:tcPr>
          <w:p w14:paraId="266C4726" w14:textId="77777777" w:rsidR="00D5170B" w:rsidRPr="003C79DF" w:rsidRDefault="00D5170B" w:rsidP="007B44BE">
            <w:pPr>
              <w:spacing w:before="40" w:after="320"/>
              <w:rPr>
                <w:lang w:val="en"/>
              </w:rPr>
            </w:pPr>
            <w:r w:rsidRPr="003C79DF">
              <w:rPr>
                <w:rFonts w:cs="Calibri"/>
              </w:rPr>
              <w:t>Circular economy</w:t>
            </w:r>
          </w:p>
        </w:tc>
        <w:tc>
          <w:tcPr>
            <w:tcW w:w="7380" w:type="dxa"/>
          </w:tcPr>
          <w:p w14:paraId="22F25260" w14:textId="77777777" w:rsidR="00D5170B" w:rsidRPr="00027E4A" w:rsidRDefault="00D5170B" w:rsidP="007B44BE">
            <w:pPr>
              <w:spacing w:line="288" w:lineRule="auto"/>
              <w:rPr>
                <w:szCs w:val="24"/>
              </w:rPr>
            </w:pPr>
            <w:r>
              <w:rPr>
                <w:rFonts w:eastAsia="Times New Roman" w:cstheme="minorHAnsi"/>
                <w:color w:val="000000"/>
                <w:lang w:eastAsia="en-GB"/>
              </w:rPr>
              <w:t>C</w:t>
            </w:r>
            <w:r w:rsidRPr="00027E4A">
              <w:rPr>
                <w:rFonts w:eastAsia="Times New Roman" w:cstheme="minorHAnsi"/>
                <w:color w:val="000000"/>
                <w:lang w:eastAsia="en-GB"/>
              </w:rPr>
              <w:t>ircular economy is an economic system aimed at eliminating waste and the continual use of resources while identifying opportunities for enhancing social value (e.g. skills and training, employment opportunities for disadvantaged groups and others).</w:t>
            </w:r>
          </w:p>
          <w:p w14:paraId="454EF0FC" w14:textId="77777777" w:rsidR="00D5170B" w:rsidRDefault="00D5170B" w:rsidP="007B44BE">
            <w:pPr>
              <w:pStyle w:val="BodyText1"/>
              <w:spacing w:before="40"/>
              <w:rPr>
                <w:color w:val="auto"/>
                <w:lang w:val="en"/>
              </w:rPr>
            </w:pPr>
          </w:p>
        </w:tc>
      </w:tr>
      <w:tr w:rsidR="00D5170B" w14:paraId="15B591C5" w14:textId="77777777" w:rsidTr="007B44BE">
        <w:trPr>
          <w:trHeight w:val="1259"/>
        </w:trPr>
        <w:tc>
          <w:tcPr>
            <w:tcW w:w="2785" w:type="dxa"/>
          </w:tcPr>
          <w:p w14:paraId="429AF944" w14:textId="77777777" w:rsidR="00D5170B" w:rsidRPr="003C79DF" w:rsidRDefault="00D5170B" w:rsidP="007B44BE">
            <w:pPr>
              <w:spacing w:before="40" w:after="320"/>
              <w:rPr>
                <w:lang w:val="en"/>
              </w:rPr>
            </w:pPr>
            <w:r w:rsidRPr="003C79DF">
              <w:rPr>
                <w:rFonts w:cs="Calibri"/>
                <w:color w:val="333333"/>
                <w:shd w:val="clear" w:color="auto" w:fill="FFFFFF"/>
              </w:rPr>
              <w:t>Climate Emergency</w:t>
            </w:r>
          </w:p>
        </w:tc>
        <w:tc>
          <w:tcPr>
            <w:tcW w:w="7380" w:type="dxa"/>
          </w:tcPr>
          <w:p w14:paraId="4E597A5F" w14:textId="77777777" w:rsidR="00D5170B" w:rsidRPr="00FF04E5" w:rsidRDefault="00D5170B" w:rsidP="007B44BE">
            <w:pPr>
              <w:rPr>
                <w:b/>
                <w:bCs/>
              </w:rPr>
            </w:pPr>
            <w:r w:rsidRPr="00FF04E5">
              <w:rPr>
                <w:rFonts w:cs="Calibri"/>
                <w:color w:val="333333"/>
                <w:shd w:val="clear" w:color="auto" w:fill="FFFFFF"/>
              </w:rPr>
              <w:t xml:space="preserve">A situation in which urgent action is required to reduce or halt climate change and avoid potentially irreversible environmental damage resulting from </w:t>
            </w:r>
            <w:proofErr w:type="gramStart"/>
            <w:r w:rsidRPr="00FF04E5">
              <w:rPr>
                <w:rFonts w:cs="Calibri"/>
                <w:color w:val="333333"/>
                <w:shd w:val="clear" w:color="auto" w:fill="FFFFFF"/>
              </w:rPr>
              <w:t>it</w:t>
            </w:r>
            <w:proofErr w:type="gramEnd"/>
          </w:p>
          <w:p w14:paraId="59B87D8E" w14:textId="77777777" w:rsidR="00D5170B" w:rsidRDefault="00D5170B" w:rsidP="007B44BE">
            <w:pPr>
              <w:pStyle w:val="BodyText1"/>
              <w:spacing w:before="40"/>
              <w:rPr>
                <w:color w:val="auto"/>
                <w:lang w:val="en"/>
              </w:rPr>
            </w:pPr>
          </w:p>
        </w:tc>
      </w:tr>
      <w:tr w:rsidR="00D5170B" w14:paraId="29F17EB8" w14:textId="77777777" w:rsidTr="007B44BE">
        <w:trPr>
          <w:trHeight w:val="1259"/>
        </w:trPr>
        <w:tc>
          <w:tcPr>
            <w:tcW w:w="2785" w:type="dxa"/>
          </w:tcPr>
          <w:p w14:paraId="71A5FC98" w14:textId="77777777" w:rsidR="00D5170B" w:rsidRPr="003C79DF" w:rsidRDefault="00D5170B" w:rsidP="007B44BE">
            <w:pPr>
              <w:spacing w:before="40" w:after="320"/>
              <w:rPr>
                <w:lang w:val="en"/>
              </w:rPr>
            </w:pPr>
            <w:r w:rsidRPr="003C79DF">
              <w:rPr>
                <w:rFonts w:cs="Calibri"/>
                <w:color w:val="333333"/>
                <w:shd w:val="clear" w:color="auto" w:fill="FFFFFF"/>
              </w:rPr>
              <w:t>Ecological Emergency</w:t>
            </w:r>
          </w:p>
        </w:tc>
        <w:tc>
          <w:tcPr>
            <w:tcW w:w="7380" w:type="dxa"/>
          </w:tcPr>
          <w:p w14:paraId="07D83EBF" w14:textId="77777777" w:rsidR="00D5170B" w:rsidRDefault="00D5170B" w:rsidP="007B44BE">
            <w:pPr>
              <w:rPr>
                <w:rFonts w:cs="Calibri"/>
                <w:color w:val="333333"/>
                <w:shd w:val="clear" w:color="auto" w:fill="FFFFFF"/>
              </w:rPr>
            </w:pPr>
            <w:r>
              <w:rPr>
                <w:rFonts w:cs="Calibri"/>
                <w:color w:val="333333"/>
                <w:shd w:val="clear" w:color="auto" w:fill="FFFFFF"/>
              </w:rPr>
              <w:t>A recognition that nature is declining globally at rates unprecedented in human history - and the rate of species extinctions is accelerating, with grave impacts on people around the world now likely.</w:t>
            </w:r>
          </w:p>
          <w:p w14:paraId="0DEBCBAE" w14:textId="77777777" w:rsidR="00D5170B" w:rsidRDefault="00D5170B" w:rsidP="007B44BE">
            <w:pPr>
              <w:pStyle w:val="BodyText1"/>
              <w:spacing w:before="40"/>
              <w:rPr>
                <w:color w:val="auto"/>
                <w:lang w:val="en"/>
              </w:rPr>
            </w:pPr>
          </w:p>
        </w:tc>
      </w:tr>
      <w:tr w:rsidR="00D5170B" w14:paraId="30DE0612" w14:textId="77777777" w:rsidTr="007B44BE">
        <w:trPr>
          <w:trHeight w:val="1259"/>
        </w:trPr>
        <w:tc>
          <w:tcPr>
            <w:tcW w:w="2785" w:type="dxa"/>
          </w:tcPr>
          <w:p w14:paraId="30972EA3" w14:textId="77777777" w:rsidR="00D5170B" w:rsidRPr="003C79DF" w:rsidRDefault="00D5170B" w:rsidP="007B44BE">
            <w:pPr>
              <w:spacing w:before="40" w:after="320"/>
              <w:rPr>
                <w:lang w:val="en"/>
              </w:rPr>
            </w:pPr>
            <w:r w:rsidRPr="003C79DF">
              <w:t>Healthier Together Integrated Care System:</w:t>
            </w:r>
          </w:p>
        </w:tc>
        <w:tc>
          <w:tcPr>
            <w:tcW w:w="7380" w:type="dxa"/>
          </w:tcPr>
          <w:p w14:paraId="32E4FC3B" w14:textId="77777777" w:rsidR="00D5170B" w:rsidRPr="00A33D90" w:rsidRDefault="00D5170B" w:rsidP="007B44BE">
            <w:r>
              <w:t xml:space="preserve">A statutory partnership of health &amp; care organisations formed to </w:t>
            </w:r>
            <w:r w:rsidRPr="00D00C68">
              <w:t>realise our shared ambitions to improve the health and wellbeing of the people of Bristol, North Somerset, and South Gloucestershire</w:t>
            </w:r>
            <w:r>
              <w:t>.</w:t>
            </w:r>
          </w:p>
          <w:p w14:paraId="15AD352F" w14:textId="77777777" w:rsidR="00D5170B" w:rsidRDefault="00D5170B" w:rsidP="007B44BE">
            <w:pPr>
              <w:pStyle w:val="BodyText1"/>
              <w:spacing w:before="40"/>
              <w:rPr>
                <w:color w:val="auto"/>
                <w:lang w:val="en"/>
              </w:rPr>
            </w:pPr>
          </w:p>
        </w:tc>
      </w:tr>
      <w:tr w:rsidR="00D5170B" w14:paraId="164FA2FF" w14:textId="77777777" w:rsidTr="007B44BE">
        <w:trPr>
          <w:trHeight w:val="1259"/>
        </w:trPr>
        <w:tc>
          <w:tcPr>
            <w:tcW w:w="2785" w:type="dxa"/>
          </w:tcPr>
          <w:p w14:paraId="509BAAA4" w14:textId="77777777" w:rsidR="00D5170B" w:rsidRPr="003C79DF" w:rsidRDefault="00D5170B" w:rsidP="007B44BE">
            <w:pPr>
              <w:spacing w:before="40" w:after="320"/>
              <w:rPr>
                <w:lang w:val="en"/>
              </w:rPr>
            </w:pPr>
            <w:r w:rsidRPr="003C79DF">
              <w:t>Net-zero carbon</w:t>
            </w:r>
          </w:p>
        </w:tc>
        <w:tc>
          <w:tcPr>
            <w:tcW w:w="7380" w:type="dxa"/>
          </w:tcPr>
          <w:p w14:paraId="7EEE4811" w14:textId="77777777" w:rsidR="00D5170B" w:rsidRDefault="00D5170B" w:rsidP="007B44BE">
            <w:pPr>
              <w:rPr>
                <w:lang w:val="en"/>
              </w:rPr>
            </w:pPr>
            <w:r w:rsidRPr="00FF04E5">
              <w:t xml:space="preserve">A person, company or country is </w:t>
            </w:r>
            <w:r>
              <w:t xml:space="preserve">net-zero </w:t>
            </w:r>
            <w:r w:rsidRPr="00FF04E5">
              <w:t xml:space="preserve">carbon if they balance the carbon </w:t>
            </w:r>
            <w:proofErr w:type="gramStart"/>
            <w:r w:rsidRPr="00FF04E5">
              <w:t>dioxide</w:t>
            </w:r>
            <w:proofErr w:type="gramEnd"/>
            <w:r w:rsidRPr="00FF04E5">
              <w:t xml:space="preserve"> they release into the atmosphere through their everyday activities with the amount they absorb or remove from the atmosphere. </w:t>
            </w:r>
            <w:proofErr w:type="gramStart"/>
            <w:r>
              <w:t>O</w:t>
            </w:r>
            <w:r w:rsidRPr="00FF04E5">
              <w:t>verall</w:t>
            </w:r>
            <w:proofErr w:type="gramEnd"/>
            <w:r w:rsidRPr="00FF04E5">
              <w:t xml:space="preserve"> no carbon dioxide is added to the atmosphere.</w:t>
            </w:r>
            <w:r>
              <w:t xml:space="preserve"> </w:t>
            </w:r>
            <w:r w:rsidRPr="00FF04E5">
              <w:t>There are two main ways to achieve net zero: reducing emissions and removing carbon dioxide from the atmosphere, through technologies that actively take in carbon dioxide or by enhancing natural removal methods - by planting trees, for example. These methods can be used in combination.</w:t>
            </w:r>
            <w:r>
              <w:t xml:space="preserve"> </w:t>
            </w:r>
            <w:r w:rsidRPr="00637CAD">
              <w:t>Net zero is the UK government’s target for at least a 100% reduction of net greenhouse gas emissions (compared with 1990 levels) in the UK by 2050.</w:t>
            </w:r>
          </w:p>
        </w:tc>
      </w:tr>
      <w:tr w:rsidR="00D5170B" w:rsidRPr="000E3A4D" w14:paraId="5C2794CA" w14:textId="77777777" w:rsidTr="007B44BE">
        <w:trPr>
          <w:trHeight w:val="1259"/>
        </w:trPr>
        <w:tc>
          <w:tcPr>
            <w:tcW w:w="2785" w:type="dxa"/>
          </w:tcPr>
          <w:p w14:paraId="082CDCFE" w14:textId="77777777" w:rsidR="00D5170B" w:rsidRPr="003C79DF" w:rsidRDefault="00D5170B" w:rsidP="007B44BE">
            <w:pPr>
              <w:spacing w:before="40" w:after="320"/>
              <w:rPr>
                <w:rFonts w:cs="Calibri"/>
              </w:rPr>
            </w:pPr>
            <w:r w:rsidRPr="003C79DF">
              <w:t>Sustainable Development:</w:t>
            </w:r>
          </w:p>
          <w:p w14:paraId="3C26B345" w14:textId="77777777" w:rsidR="00D5170B" w:rsidRPr="003C79DF" w:rsidRDefault="00D5170B" w:rsidP="007B44BE">
            <w:pPr>
              <w:spacing w:before="40" w:after="320"/>
              <w:rPr>
                <w:rFonts w:cs="Calibri"/>
              </w:rPr>
            </w:pPr>
          </w:p>
          <w:p w14:paraId="33B84458" w14:textId="77777777" w:rsidR="00D5170B" w:rsidRPr="003C79DF" w:rsidRDefault="00D5170B" w:rsidP="007B44BE">
            <w:pPr>
              <w:spacing w:before="40" w:after="320"/>
              <w:rPr>
                <w:color w:val="D90000"/>
              </w:rPr>
            </w:pPr>
          </w:p>
        </w:tc>
        <w:tc>
          <w:tcPr>
            <w:tcW w:w="7380" w:type="dxa"/>
          </w:tcPr>
          <w:p w14:paraId="3F22BB7C" w14:textId="77777777" w:rsidR="00D5170B" w:rsidRDefault="00D5170B" w:rsidP="007B44BE">
            <w:r w:rsidRPr="003C79DF">
              <w:rPr>
                <w:rFonts w:cs="Calibri"/>
              </w:rPr>
              <w:t>Sustainable development</w:t>
            </w:r>
            <w:r>
              <w:rPr>
                <w:rFonts w:cs="Calibri"/>
                <w:b/>
                <w:bCs/>
              </w:rPr>
              <w:t xml:space="preserve"> </w:t>
            </w:r>
            <w:r w:rsidRPr="000B32EA">
              <w:t xml:space="preserve">aims to ensure the basic needs and quality of life for everyone are met, now and for future generations. Sustainable Development promotes the reduction of carbon emissions, the efficient use of finite resources, recognises the importance of protecting our natural environment, and preparing our communities for climate change (extreme weather events and increased risk of disease) by promoting health and wellbeing through healthy lifestyle choices to ensure a strong, healthy and resilient community now and for future </w:t>
            </w:r>
            <w:proofErr w:type="gramStart"/>
            <w:r w:rsidRPr="000B32EA">
              <w:t>generations</w:t>
            </w:r>
            <w:proofErr w:type="gramEnd"/>
          </w:p>
          <w:p w14:paraId="327F63E2" w14:textId="77777777" w:rsidR="00D5170B" w:rsidRPr="000E3A4D" w:rsidRDefault="00D5170B" w:rsidP="007B44BE">
            <w:pPr>
              <w:rPr>
                <w:color w:val="D90000"/>
                <w:lang w:val="en"/>
              </w:rPr>
            </w:pPr>
          </w:p>
        </w:tc>
      </w:tr>
    </w:tbl>
    <w:p w14:paraId="07C9FFE3" w14:textId="77777777" w:rsidR="002F569E" w:rsidRDefault="002F569E" w:rsidP="00606DF2"/>
    <w:p w14:paraId="7DDB1E28" w14:textId="77777777" w:rsidR="00810EA1" w:rsidRDefault="00810EA1" w:rsidP="00606DF2"/>
    <w:p w14:paraId="692B3ABA" w14:textId="77777777" w:rsidR="00810EA1" w:rsidRPr="002F569E" w:rsidRDefault="00810EA1" w:rsidP="00606DF2"/>
    <w:sectPr w:rsidR="00810EA1" w:rsidRPr="002F569E" w:rsidSect="00DF431E">
      <w:headerReference w:type="default" r:id="rId30"/>
      <w:footerReference w:type="even" r:id="rId31"/>
      <w:footerReference w:type="default" r:id="rId32"/>
      <w:headerReference w:type="first" r:id="rId33"/>
      <w:footerReference w:type="first" r:id="rId34"/>
      <w:pgSz w:w="11909" w:h="16834" w:code="9"/>
      <w:pgMar w:top="1418" w:right="1080"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4089" w14:textId="77777777" w:rsidR="00D820C1" w:rsidRPr="00EF3A62" w:rsidRDefault="00D820C1" w:rsidP="008F7D93">
      <w:r w:rsidRPr="00EF3A62">
        <w:separator/>
      </w:r>
    </w:p>
  </w:endnote>
  <w:endnote w:type="continuationSeparator" w:id="0">
    <w:p w14:paraId="1B716186" w14:textId="77777777" w:rsidR="00D820C1" w:rsidRPr="00EF3A62" w:rsidRDefault="00D820C1" w:rsidP="008F7D93">
      <w:r w:rsidRPr="00EF3A62">
        <w:continuationSeparator/>
      </w:r>
    </w:p>
  </w:endnote>
  <w:endnote w:type="continuationNotice" w:id="1">
    <w:p w14:paraId="7724B4F8" w14:textId="77777777" w:rsidR="00D820C1" w:rsidRPr="00EF3A62" w:rsidRDefault="00D820C1"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D820"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98450"/>
      <w:docPartObj>
        <w:docPartGallery w:val="Page Numbers (Bottom of Page)"/>
        <w:docPartUnique/>
      </w:docPartObj>
    </w:sdtPr>
    <w:sdtContent>
      <w:p w14:paraId="1187C805" w14:textId="77777777" w:rsidR="00392DE3" w:rsidRPr="00EF3A62" w:rsidRDefault="00392DE3" w:rsidP="00392DE3">
        <w:pPr>
          <w:pStyle w:val="Footer"/>
          <w:jc w:val="center"/>
        </w:pPr>
      </w:p>
      <w:p w14:paraId="6636893C" w14:textId="06459A2A" w:rsidR="00392DE3" w:rsidRPr="00EF3A62" w:rsidRDefault="00392DE3" w:rsidP="00392DE3">
        <w:pPr>
          <w:pStyle w:val="Footer"/>
          <w:jc w:val="center"/>
        </w:pPr>
        <w:r w:rsidRPr="00EF3A62">
          <w:fldChar w:fldCharType="begin"/>
        </w:r>
        <w:r w:rsidRPr="00EF3A62">
          <w:instrText xml:space="preserve"> PAGE   \* MERGEFORMAT </w:instrText>
        </w:r>
        <w:r w:rsidRPr="00EF3A62">
          <w:fldChar w:fldCharType="separate"/>
        </w:r>
        <w:r w:rsidRPr="00EF3A62">
          <w:t>2</w:t>
        </w:r>
        <w:r w:rsidRPr="00EF3A62">
          <w:fldChar w:fldCharType="end"/>
        </w:r>
      </w:p>
      <w:p w14:paraId="32998FD8" w14:textId="72519CD6" w:rsidR="00392DE3" w:rsidRPr="00EF3A62" w:rsidRDefault="00236BBD" w:rsidP="004C07D8">
        <w:pPr>
          <w:pStyle w:val="Footer"/>
        </w:pPr>
        <w:r w:rsidRPr="00EF3A62">
          <w:rPr>
            <w:noProof/>
          </w:rPr>
          <w:drawing>
            <wp:inline distT="0" distB="0" distL="0" distR="0" wp14:anchorId="3FFAA61E" wp14:editId="7261B306">
              <wp:extent cx="1816100" cy="221484"/>
              <wp:effectExtent l="0" t="0" r="0" b="7620"/>
              <wp:docPr id="1952092618" name="Picture 1" descr="Together we are BNSSG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2618" name="Picture 1" descr="Together we are BNSSG page footer"/>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58240" behindDoc="0" locked="0" layoutInCell="1" allowOverlap="1" wp14:anchorId="3713CEEE" wp14:editId="291DD196">
              <wp:simplePos x="0" y="0"/>
              <wp:positionH relativeFrom="page">
                <wp:posOffset>-6485</wp:posOffset>
              </wp:positionH>
              <wp:positionV relativeFrom="page">
                <wp:posOffset>10642059</wp:posOffset>
              </wp:positionV>
              <wp:extent cx="7586345" cy="64297"/>
              <wp:effectExtent l="0" t="0" r="0" b="0"/>
              <wp:wrapSquare wrapText="bothSides"/>
              <wp:docPr id="195209261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2619"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3CB48CA" w14:textId="3A9649CA" w:rsidR="00C46028" w:rsidRPr="00EF3A62" w:rsidRDefault="00C4602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1A17" w14:textId="11FF7E8C" w:rsidR="001D7CF7" w:rsidRPr="00EF3A62" w:rsidRDefault="002A6AA8" w:rsidP="002A6AA8">
    <w:pPr>
      <w:tabs>
        <w:tab w:val="center" w:pos="4874"/>
        <w:tab w:val="left" w:pos="6315"/>
      </w:tabs>
    </w:pPr>
    <w:r>
      <w:tab/>
    </w:r>
    <w:r w:rsidR="0030747B" w:rsidRPr="00EF3A62">
      <w:fldChar w:fldCharType="begin"/>
    </w:r>
    <w:r w:rsidR="0030747B" w:rsidRPr="00EF3A62">
      <w:instrText xml:space="preserve"> PAGE   \* MERGEFORMAT </w:instrText>
    </w:r>
    <w:r w:rsidR="0030747B" w:rsidRPr="00EF3A62">
      <w:fldChar w:fldCharType="separate"/>
    </w:r>
    <w:r w:rsidR="0030747B" w:rsidRPr="00EF3A62">
      <w:t>1</w:t>
    </w:r>
    <w:r w:rsidR="0030747B" w:rsidRPr="00EF3A62">
      <w:fldChar w:fldCharType="end"/>
    </w:r>
    <w:r w:rsidR="001D7CF7" w:rsidRPr="00EF3A62">
      <w:fldChar w:fldCharType="begin"/>
    </w:r>
    <w:r w:rsidR="001D7CF7" w:rsidRPr="00EF3A62">
      <w:instrText xml:space="preserve"> PAGE   \* MERGEFORMAT </w:instrText>
    </w:r>
    <w:r w:rsidR="001D7CF7" w:rsidRPr="00EF3A62">
      <w:fldChar w:fldCharType="separate"/>
    </w:r>
    <w:r w:rsidR="001D7CF7" w:rsidRPr="00EF3A62">
      <w:t>1</w:t>
    </w:r>
    <w:r w:rsidR="001D7CF7" w:rsidRPr="00EF3A62">
      <w:fldChar w:fldCharType="end"/>
    </w:r>
    <w:r>
      <w:tab/>
    </w:r>
  </w:p>
  <w:p w14:paraId="0795E1F3" w14:textId="77A9B488" w:rsidR="00C46028" w:rsidRPr="00EF3A62" w:rsidRDefault="00917835" w:rsidP="00041991">
    <w:pPr>
      <w:jc w:val="center"/>
    </w:pPr>
    <w:r w:rsidRPr="00EF3A62">
      <w:rPr>
        <w:noProof/>
      </w:rPr>
      <w:drawing>
        <wp:anchor distT="0" distB="0" distL="114300" distR="114300" simplePos="0" relativeHeight="251658242" behindDoc="0" locked="0" layoutInCell="1" allowOverlap="1" wp14:anchorId="27E64455" wp14:editId="04E27818">
          <wp:simplePos x="0" y="0"/>
          <wp:positionH relativeFrom="page">
            <wp:posOffset>685800</wp:posOffset>
          </wp:positionH>
          <wp:positionV relativeFrom="page">
            <wp:posOffset>11014075</wp:posOffset>
          </wp:positionV>
          <wp:extent cx="7586345" cy="239395"/>
          <wp:effectExtent l="0" t="0" r="0" b="8255"/>
          <wp:wrapSquare wrapText="bothSides"/>
          <wp:docPr id="195209262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262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8F" w:rsidRPr="00EF3A62">
      <w:rPr>
        <w:noProof/>
      </w:rPr>
      <w:drawing>
        <wp:anchor distT="0" distB="0" distL="114300" distR="114300" simplePos="0" relativeHeight="251658241" behindDoc="0" locked="0" layoutInCell="1" allowOverlap="1" wp14:anchorId="53278FCA" wp14:editId="7F25E9D0">
          <wp:simplePos x="0" y="0"/>
          <wp:positionH relativeFrom="page">
            <wp:posOffset>-8890</wp:posOffset>
          </wp:positionH>
          <wp:positionV relativeFrom="page">
            <wp:posOffset>10483560</wp:posOffset>
          </wp:positionV>
          <wp:extent cx="7586345" cy="239395"/>
          <wp:effectExtent l="0" t="0" r="0" b="8255"/>
          <wp:wrapSquare wrapText="bothSides"/>
          <wp:docPr id="195209262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262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239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3DE3" w14:textId="77777777" w:rsidR="00D820C1" w:rsidRPr="00EF3A62" w:rsidRDefault="00D820C1" w:rsidP="008F7D93">
      <w:r w:rsidRPr="00EF3A62">
        <w:separator/>
      </w:r>
    </w:p>
  </w:footnote>
  <w:footnote w:type="continuationSeparator" w:id="0">
    <w:p w14:paraId="02D68A7B" w14:textId="77777777" w:rsidR="00D820C1" w:rsidRPr="00EF3A62" w:rsidRDefault="00D820C1" w:rsidP="008F7D93">
      <w:r w:rsidRPr="00EF3A62">
        <w:continuationSeparator/>
      </w:r>
    </w:p>
  </w:footnote>
  <w:footnote w:type="continuationNotice" w:id="1">
    <w:p w14:paraId="2A85F644" w14:textId="77777777" w:rsidR="00D820C1" w:rsidRPr="00EF3A62" w:rsidRDefault="00D820C1"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2852" w14:textId="77777777" w:rsidR="00275F2E" w:rsidRPr="00275F2E" w:rsidRDefault="00275F2E" w:rsidP="00275F2E">
    <w:pPr>
      <w:tabs>
        <w:tab w:val="center" w:pos="4680"/>
        <w:tab w:val="right" w:pos="9360"/>
      </w:tabs>
      <w:spacing w:after="0" w:line="240" w:lineRule="auto"/>
      <w:rPr>
        <w:rFonts w:eastAsia="Arial" w:cs="Times New Roman"/>
      </w:rPr>
    </w:pPr>
    <w:r w:rsidRPr="00275F2E">
      <w:rPr>
        <w:rFonts w:eastAsia="Arial" w:cs="Times New Roman"/>
        <w:noProof/>
      </w:rPr>
      <w:drawing>
        <wp:anchor distT="0" distB="0" distL="114300" distR="114300" simplePos="0" relativeHeight="251658243" behindDoc="0" locked="0" layoutInCell="1" allowOverlap="1" wp14:anchorId="740F05C7" wp14:editId="6A1E99ED">
          <wp:simplePos x="0" y="0"/>
          <wp:positionH relativeFrom="column">
            <wp:posOffset>0</wp:posOffset>
          </wp:positionH>
          <wp:positionV relativeFrom="paragraph">
            <wp:posOffset>171451</wp:posOffset>
          </wp:positionV>
          <wp:extent cx="1752600" cy="383668"/>
          <wp:effectExtent l="0" t="0" r="0" b="0"/>
          <wp:wrapNone/>
          <wp:docPr id="1952092616" name="Picture 4" descr="Healthier Together Bristol, North Somerset and South Gloucestershire logo">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2616" name="Picture 4" descr="Healthier Together Bristol, North Somerset and South Gloucestershire logo">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83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1B239" w14:textId="18F46FC5" w:rsidR="00275F2E" w:rsidRPr="00275F2E" w:rsidRDefault="00275F2E" w:rsidP="00275F2E">
    <w:pPr>
      <w:tabs>
        <w:tab w:val="center" w:pos="4680"/>
        <w:tab w:val="right" w:pos="9360"/>
      </w:tabs>
      <w:spacing w:after="0" w:line="240" w:lineRule="auto"/>
      <w:rPr>
        <w:rFonts w:eastAsia="Arial" w:cs="Times New Roman"/>
      </w:rPr>
    </w:pPr>
    <w:r w:rsidRPr="00275F2E">
      <w:rPr>
        <w:rFonts w:eastAsia="Arial" w:cs="Times New Roman"/>
        <w:noProof/>
      </w:rPr>
      <w:drawing>
        <wp:anchor distT="0" distB="0" distL="114300" distR="114300" simplePos="0" relativeHeight="251658244" behindDoc="0" locked="0" layoutInCell="1" allowOverlap="1" wp14:anchorId="43A9EFAA" wp14:editId="097CEED2">
          <wp:simplePos x="0" y="0"/>
          <wp:positionH relativeFrom="column">
            <wp:posOffset>84438</wp:posOffset>
          </wp:positionH>
          <wp:positionV relativeFrom="paragraph">
            <wp:posOffset>471170</wp:posOffset>
          </wp:positionV>
          <wp:extent cx="6089015" cy="45719"/>
          <wp:effectExtent l="0" t="0" r="0" b="0"/>
          <wp:wrapNone/>
          <wp:docPr id="1952092617" name="Picture 5">
            <a:extLst xmlns:a="http://schemas.openxmlformats.org/drawingml/2006/main">
              <a:ext uri="{FF2B5EF4-FFF2-40B4-BE49-F238E27FC236}">
                <a16:creationId xmlns:a16="http://schemas.microsoft.com/office/drawing/2014/main" id="{78D09F00-20B7-3F85-F8CE-89777230FBE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2617" name="Picture 5">
                    <a:extLst>
                      <a:ext uri="{FF2B5EF4-FFF2-40B4-BE49-F238E27FC236}">
                        <a16:creationId xmlns:a16="http://schemas.microsoft.com/office/drawing/2014/main" id="{78D09F00-20B7-3F85-F8CE-89777230FBE6}"/>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9015" cy="457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FAA5A" w14:textId="70D3D3E4" w:rsidR="0043401F" w:rsidRPr="00EF3A62" w:rsidRDefault="00434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B70C" w14:textId="1B03E680" w:rsidR="004203CB" w:rsidRPr="00EF3A62" w:rsidRDefault="004203CB" w:rsidP="008F7D93">
    <w:pPr>
      <w:pStyle w:val="Header"/>
    </w:pPr>
  </w:p>
  <w:p w14:paraId="11E00D22" w14:textId="4B5B906B" w:rsidR="004C45E6" w:rsidRPr="00EF3A62" w:rsidRDefault="003B2A2F" w:rsidP="008F7D93">
    <w:pPr>
      <w:pStyle w:val="Header"/>
    </w:pPr>
    <w:r>
      <w:rPr>
        <w:noProof/>
      </w:rPr>
      <w:drawing>
        <wp:inline distT="0" distB="0" distL="0" distR="0" wp14:anchorId="7364DB54" wp14:editId="361D8D1E">
          <wp:extent cx="3145790" cy="688975"/>
          <wp:effectExtent l="0" t="0" r="0" b="0"/>
          <wp:docPr id="1952092620" name="Picture 1952092620" descr="Healthier Together Bristol, North Somerset and South Gloucestershi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2620" name="Picture 1952092620" descr="Healthier Together Bristol, North Somerset and South Gloucestershir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579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552"/>
    <w:multiLevelType w:val="hybridMultilevel"/>
    <w:tmpl w:val="70C008C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5213B5"/>
    <w:multiLevelType w:val="hybridMultilevel"/>
    <w:tmpl w:val="76644E7E"/>
    <w:lvl w:ilvl="0" w:tplc="CF2C468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1A017C"/>
    <w:multiLevelType w:val="hybridMultilevel"/>
    <w:tmpl w:val="A8C03706"/>
    <w:lvl w:ilvl="0" w:tplc="5A8894B2">
      <w:start w:val="1"/>
      <w:numFmt w:val="bullet"/>
      <w:pStyle w:val="Bullets"/>
      <w:lvlText w:val=""/>
      <w:lvlJc w:val="left"/>
      <w:pPr>
        <w:ind w:left="1440" w:hanging="360"/>
      </w:pPr>
      <w:rPr>
        <w:rFonts w:ascii="Symbol" w:hAnsi="Symbol" w:hint="default"/>
        <w:color w:val="1C1F63"/>
        <w:u w:color="1C1F63" w:themeColor="text1"/>
      </w:rPr>
    </w:lvl>
    <w:lvl w:ilvl="1" w:tplc="6256E598">
      <w:start w:val="1"/>
      <w:numFmt w:val="bullet"/>
      <w:lvlText w:val=""/>
      <w:lvlJc w:val="left"/>
      <w:pPr>
        <w:ind w:left="2160" w:hanging="360"/>
      </w:pPr>
      <w:rPr>
        <w:rFonts w:ascii="Wingdings" w:hAnsi="Wingdings" w:hint="default"/>
        <w:color w:val="1C1F6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2060C6"/>
    <w:multiLevelType w:val="multilevel"/>
    <w:tmpl w:val="C2806544"/>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E5C5C04"/>
    <w:multiLevelType w:val="hybridMultilevel"/>
    <w:tmpl w:val="1C52CD84"/>
    <w:lvl w:ilvl="0" w:tplc="CF2C46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A473C"/>
    <w:multiLevelType w:val="hybridMultilevel"/>
    <w:tmpl w:val="2F8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B2D63"/>
    <w:multiLevelType w:val="hybridMultilevel"/>
    <w:tmpl w:val="B45A5E22"/>
    <w:lvl w:ilvl="0" w:tplc="6DEA3F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20224"/>
    <w:multiLevelType w:val="hybridMultilevel"/>
    <w:tmpl w:val="B6B0F7BC"/>
    <w:lvl w:ilvl="0" w:tplc="6DEA3F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A1550"/>
    <w:multiLevelType w:val="hybridMultilevel"/>
    <w:tmpl w:val="BD18D7F0"/>
    <w:lvl w:ilvl="0" w:tplc="CF2C468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9635D8"/>
    <w:multiLevelType w:val="hybridMultilevel"/>
    <w:tmpl w:val="1AE083E6"/>
    <w:lvl w:ilvl="0" w:tplc="6F22E0CE">
      <w:start w:val="1"/>
      <w:numFmt w:val="bullet"/>
      <w:lvlText w:val=""/>
      <w:lvlJc w:val="left"/>
      <w:pPr>
        <w:ind w:left="720" w:hanging="360"/>
      </w:pPr>
      <w:rPr>
        <w:rFonts w:ascii="Symbol" w:hAnsi="Symbol" w:hint="default"/>
        <w:color w:val="15174A"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8113C"/>
    <w:multiLevelType w:val="hybridMultilevel"/>
    <w:tmpl w:val="BA72421E"/>
    <w:lvl w:ilvl="0" w:tplc="C9322CDC">
      <w:start w:val="1"/>
      <w:numFmt w:val="bullet"/>
      <w:lvlText w:val=""/>
      <w:lvlJc w:val="left"/>
      <w:pPr>
        <w:ind w:left="360" w:hanging="360"/>
      </w:pPr>
      <w:rPr>
        <w:rFonts w:ascii="Symbol" w:hAnsi="Symbol" w:hint="default"/>
        <w:color w:val="D9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8E121AE"/>
    <w:multiLevelType w:val="hybridMultilevel"/>
    <w:tmpl w:val="A06C01EE"/>
    <w:lvl w:ilvl="0" w:tplc="7AA0B73A">
      <w:start w:val="1"/>
      <w:numFmt w:val="bullet"/>
      <w:lvlText w:val=""/>
      <w:lvlJc w:val="left"/>
      <w:pPr>
        <w:ind w:left="360" w:hanging="360"/>
      </w:pPr>
      <w:rPr>
        <w:rFonts w:ascii="Symbol" w:hAnsi="Symbol" w:hint="default"/>
        <w:color w:val="15174A"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DA33BD"/>
    <w:multiLevelType w:val="hybridMultilevel"/>
    <w:tmpl w:val="3B70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E7663"/>
    <w:multiLevelType w:val="hybridMultilevel"/>
    <w:tmpl w:val="4F2CBAFA"/>
    <w:lvl w:ilvl="0" w:tplc="BCEC2E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40656"/>
    <w:multiLevelType w:val="multilevel"/>
    <w:tmpl w:val="A81E26F8"/>
    <w:lvl w:ilvl="0">
      <w:start w:val="1"/>
      <w:numFmt w:val="bullet"/>
      <w:lvlText w:val=""/>
      <w:lvlJc w:val="left"/>
      <w:pPr>
        <w:tabs>
          <w:tab w:val="num" w:pos="447"/>
        </w:tabs>
        <w:ind w:left="447" w:hanging="360"/>
      </w:pPr>
      <w:rPr>
        <w:rFonts w:ascii="Symbol" w:hAnsi="Symbol" w:hint="default"/>
        <w:sz w:val="20"/>
      </w:rPr>
    </w:lvl>
    <w:lvl w:ilvl="1" w:tentative="1">
      <w:start w:val="1"/>
      <w:numFmt w:val="bullet"/>
      <w:lvlText w:val=""/>
      <w:lvlJc w:val="left"/>
      <w:pPr>
        <w:tabs>
          <w:tab w:val="num" w:pos="1167"/>
        </w:tabs>
        <w:ind w:left="1167" w:hanging="360"/>
      </w:pPr>
      <w:rPr>
        <w:rFonts w:ascii="Symbol" w:hAnsi="Symbol" w:hint="default"/>
        <w:sz w:val="20"/>
      </w:rPr>
    </w:lvl>
    <w:lvl w:ilvl="2" w:tentative="1">
      <w:start w:val="1"/>
      <w:numFmt w:val="bullet"/>
      <w:lvlText w:val=""/>
      <w:lvlJc w:val="left"/>
      <w:pPr>
        <w:tabs>
          <w:tab w:val="num" w:pos="1887"/>
        </w:tabs>
        <w:ind w:left="1887" w:hanging="360"/>
      </w:pPr>
      <w:rPr>
        <w:rFonts w:ascii="Symbol" w:hAnsi="Symbol" w:hint="default"/>
        <w:sz w:val="20"/>
      </w:rPr>
    </w:lvl>
    <w:lvl w:ilvl="3" w:tentative="1">
      <w:start w:val="1"/>
      <w:numFmt w:val="bullet"/>
      <w:lvlText w:val=""/>
      <w:lvlJc w:val="left"/>
      <w:pPr>
        <w:tabs>
          <w:tab w:val="num" w:pos="2607"/>
        </w:tabs>
        <w:ind w:left="2607" w:hanging="360"/>
      </w:pPr>
      <w:rPr>
        <w:rFonts w:ascii="Symbol" w:hAnsi="Symbol" w:hint="default"/>
        <w:sz w:val="20"/>
      </w:rPr>
    </w:lvl>
    <w:lvl w:ilvl="4" w:tentative="1">
      <w:start w:val="1"/>
      <w:numFmt w:val="bullet"/>
      <w:lvlText w:val=""/>
      <w:lvlJc w:val="left"/>
      <w:pPr>
        <w:tabs>
          <w:tab w:val="num" w:pos="3327"/>
        </w:tabs>
        <w:ind w:left="3327" w:hanging="360"/>
      </w:pPr>
      <w:rPr>
        <w:rFonts w:ascii="Symbol" w:hAnsi="Symbol" w:hint="default"/>
        <w:sz w:val="20"/>
      </w:rPr>
    </w:lvl>
    <w:lvl w:ilvl="5" w:tentative="1">
      <w:start w:val="1"/>
      <w:numFmt w:val="bullet"/>
      <w:lvlText w:val=""/>
      <w:lvlJc w:val="left"/>
      <w:pPr>
        <w:tabs>
          <w:tab w:val="num" w:pos="4047"/>
        </w:tabs>
        <w:ind w:left="4047" w:hanging="360"/>
      </w:pPr>
      <w:rPr>
        <w:rFonts w:ascii="Symbol" w:hAnsi="Symbol" w:hint="default"/>
        <w:sz w:val="20"/>
      </w:rPr>
    </w:lvl>
    <w:lvl w:ilvl="6" w:tentative="1">
      <w:start w:val="1"/>
      <w:numFmt w:val="bullet"/>
      <w:lvlText w:val=""/>
      <w:lvlJc w:val="left"/>
      <w:pPr>
        <w:tabs>
          <w:tab w:val="num" w:pos="4767"/>
        </w:tabs>
        <w:ind w:left="4767" w:hanging="360"/>
      </w:pPr>
      <w:rPr>
        <w:rFonts w:ascii="Symbol" w:hAnsi="Symbol" w:hint="default"/>
        <w:sz w:val="20"/>
      </w:rPr>
    </w:lvl>
    <w:lvl w:ilvl="7" w:tentative="1">
      <w:start w:val="1"/>
      <w:numFmt w:val="bullet"/>
      <w:lvlText w:val=""/>
      <w:lvlJc w:val="left"/>
      <w:pPr>
        <w:tabs>
          <w:tab w:val="num" w:pos="5487"/>
        </w:tabs>
        <w:ind w:left="5487" w:hanging="360"/>
      </w:pPr>
      <w:rPr>
        <w:rFonts w:ascii="Symbol" w:hAnsi="Symbol" w:hint="default"/>
        <w:sz w:val="20"/>
      </w:rPr>
    </w:lvl>
    <w:lvl w:ilvl="8" w:tentative="1">
      <w:start w:val="1"/>
      <w:numFmt w:val="bullet"/>
      <w:lvlText w:val=""/>
      <w:lvlJc w:val="left"/>
      <w:pPr>
        <w:tabs>
          <w:tab w:val="num" w:pos="6207"/>
        </w:tabs>
        <w:ind w:left="6207" w:hanging="360"/>
      </w:pPr>
      <w:rPr>
        <w:rFonts w:ascii="Symbol" w:hAnsi="Symbol" w:hint="default"/>
        <w:sz w:val="20"/>
      </w:rPr>
    </w:lvl>
  </w:abstractNum>
  <w:abstractNum w:abstractNumId="15" w15:restartNumberingAfterBreak="0">
    <w:nsid w:val="53663C16"/>
    <w:multiLevelType w:val="hybridMultilevel"/>
    <w:tmpl w:val="98E0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27398"/>
    <w:multiLevelType w:val="hybridMultilevel"/>
    <w:tmpl w:val="A3F43708"/>
    <w:lvl w:ilvl="0" w:tplc="9D6E05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C529A4"/>
    <w:multiLevelType w:val="hybridMultilevel"/>
    <w:tmpl w:val="2CD8D3F6"/>
    <w:lvl w:ilvl="0" w:tplc="349CA552">
      <w:start w:val="1"/>
      <w:numFmt w:val="bullet"/>
      <w:lvlText w:val=""/>
      <w:lvlJc w:val="left"/>
      <w:pPr>
        <w:ind w:left="1440" w:hanging="360"/>
      </w:pPr>
      <w:rPr>
        <w:rFonts w:ascii="Symbol" w:hAnsi="Symbol" w:hint="default"/>
        <w:color w:val="15174A"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FF3E27"/>
    <w:multiLevelType w:val="hybridMultilevel"/>
    <w:tmpl w:val="11EE248C"/>
    <w:lvl w:ilvl="0" w:tplc="584232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E1185"/>
    <w:multiLevelType w:val="hybridMultilevel"/>
    <w:tmpl w:val="B4A4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20882"/>
    <w:multiLevelType w:val="hybridMultilevel"/>
    <w:tmpl w:val="27FC6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4ED01B5"/>
    <w:multiLevelType w:val="hybridMultilevel"/>
    <w:tmpl w:val="3442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5A5630"/>
    <w:multiLevelType w:val="hybridMultilevel"/>
    <w:tmpl w:val="F1BE98B6"/>
    <w:lvl w:ilvl="0" w:tplc="F2B491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831EF2"/>
    <w:multiLevelType w:val="hybridMultilevel"/>
    <w:tmpl w:val="7D046C3C"/>
    <w:lvl w:ilvl="0" w:tplc="DB1080B0">
      <w:start w:val="1"/>
      <w:numFmt w:val="decimal"/>
      <w:pStyle w:val="Heading3"/>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3444778">
    <w:abstractNumId w:val="17"/>
  </w:num>
  <w:num w:numId="2" w16cid:durableId="2035573269">
    <w:abstractNumId w:val="2"/>
  </w:num>
  <w:num w:numId="3" w16cid:durableId="4916772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7783890">
    <w:abstractNumId w:val="21"/>
  </w:num>
  <w:num w:numId="5" w16cid:durableId="717438125">
    <w:abstractNumId w:val="10"/>
  </w:num>
  <w:num w:numId="6" w16cid:durableId="707948774">
    <w:abstractNumId w:val="3"/>
  </w:num>
  <w:num w:numId="7" w16cid:durableId="726613129">
    <w:abstractNumId w:val="15"/>
  </w:num>
  <w:num w:numId="8" w16cid:durableId="1263803852">
    <w:abstractNumId w:val="12"/>
  </w:num>
  <w:num w:numId="9" w16cid:durableId="4523527">
    <w:abstractNumId w:val="4"/>
  </w:num>
  <w:num w:numId="10" w16cid:durableId="1862205622">
    <w:abstractNumId w:val="1"/>
  </w:num>
  <w:num w:numId="11" w16cid:durableId="889997374">
    <w:abstractNumId w:val="8"/>
  </w:num>
  <w:num w:numId="12" w16cid:durableId="522403218">
    <w:abstractNumId w:val="0"/>
  </w:num>
  <w:num w:numId="13" w16cid:durableId="1897549816">
    <w:abstractNumId w:val="24"/>
    <w:lvlOverride w:ilvl="0">
      <w:startOverride w:val="3"/>
    </w:lvlOverride>
  </w:num>
  <w:num w:numId="14" w16cid:durableId="1115715743">
    <w:abstractNumId w:val="9"/>
  </w:num>
  <w:num w:numId="15" w16cid:durableId="780875625">
    <w:abstractNumId w:val="11"/>
  </w:num>
  <w:num w:numId="16" w16cid:durableId="1522475683">
    <w:abstractNumId w:val="24"/>
    <w:lvlOverride w:ilvl="0">
      <w:startOverride w:val="6"/>
    </w:lvlOverride>
  </w:num>
  <w:num w:numId="17" w16cid:durableId="835655423">
    <w:abstractNumId w:val="20"/>
  </w:num>
  <w:num w:numId="18" w16cid:durableId="1835342141">
    <w:abstractNumId w:val="18"/>
  </w:num>
  <w:num w:numId="19" w16cid:durableId="41634394">
    <w:abstractNumId w:val="6"/>
  </w:num>
  <w:num w:numId="20" w16cid:durableId="627397338">
    <w:abstractNumId w:val="13"/>
  </w:num>
  <w:num w:numId="21" w16cid:durableId="624848415">
    <w:abstractNumId w:val="23"/>
  </w:num>
  <w:num w:numId="22" w16cid:durableId="64645489">
    <w:abstractNumId w:val="19"/>
  </w:num>
  <w:num w:numId="23" w16cid:durableId="1093211230">
    <w:abstractNumId w:val="14"/>
  </w:num>
  <w:num w:numId="24" w16cid:durableId="844712956">
    <w:abstractNumId w:val="16"/>
  </w:num>
  <w:num w:numId="25" w16cid:durableId="1537623655">
    <w:abstractNumId w:val="5"/>
  </w:num>
  <w:num w:numId="26" w16cid:durableId="458913734">
    <w:abstractNumId w:val="7"/>
  </w:num>
  <w:num w:numId="27" w16cid:durableId="7844263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2A78"/>
    <w:rsid w:val="0000527F"/>
    <w:rsid w:val="000052FA"/>
    <w:rsid w:val="00006CFF"/>
    <w:rsid w:val="00007051"/>
    <w:rsid w:val="00007EB5"/>
    <w:rsid w:val="00015C60"/>
    <w:rsid w:val="0001604A"/>
    <w:rsid w:val="000201C6"/>
    <w:rsid w:val="0002241B"/>
    <w:rsid w:val="00024844"/>
    <w:rsid w:val="000275F2"/>
    <w:rsid w:val="00027733"/>
    <w:rsid w:val="000300AE"/>
    <w:rsid w:val="00030478"/>
    <w:rsid w:val="00033554"/>
    <w:rsid w:val="00036378"/>
    <w:rsid w:val="0003731C"/>
    <w:rsid w:val="00041991"/>
    <w:rsid w:val="00042107"/>
    <w:rsid w:val="000426B0"/>
    <w:rsid w:val="00045226"/>
    <w:rsid w:val="000508F2"/>
    <w:rsid w:val="00053563"/>
    <w:rsid w:val="000615A1"/>
    <w:rsid w:val="000615EE"/>
    <w:rsid w:val="0006229C"/>
    <w:rsid w:val="00067159"/>
    <w:rsid w:val="00067650"/>
    <w:rsid w:val="000707A7"/>
    <w:rsid w:val="000712CA"/>
    <w:rsid w:val="00073418"/>
    <w:rsid w:val="00075224"/>
    <w:rsid w:val="00080E54"/>
    <w:rsid w:val="00082A01"/>
    <w:rsid w:val="000853E2"/>
    <w:rsid w:val="00086E45"/>
    <w:rsid w:val="00090BBB"/>
    <w:rsid w:val="00093CBD"/>
    <w:rsid w:val="00095391"/>
    <w:rsid w:val="000967E5"/>
    <w:rsid w:val="00097A66"/>
    <w:rsid w:val="00097F48"/>
    <w:rsid w:val="000A185E"/>
    <w:rsid w:val="000A2541"/>
    <w:rsid w:val="000A6069"/>
    <w:rsid w:val="000B1964"/>
    <w:rsid w:val="000B6BED"/>
    <w:rsid w:val="000C035A"/>
    <w:rsid w:val="000C3F92"/>
    <w:rsid w:val="000D382E"/>
    <w:rsid w:val="000D485B"/>
    <w:rsid w:val="000D6EB8"/>
    <w:rsid w:val="000D737C"/>
    <w:rsid w:val="000D76C8"/>
    <w:rsid w:val="000D7A81"/>
    <w:rsid w:val="000E02F3"/>
    <w:rsid w:val="000E0697"/>
    <w:rsid w:val="000E4C65"/>
    <w:rsid w:val="000E5C38"/>
    <w:rsid w:val="000E6318"/>
    <w:rsid w:val="000E689F"/>
    <w:rsid w:val="000F0DBE"/>
    <w:rsid w:val="000F156E"/>
    <w:rsid w:val="000F1895"/>
    <w:rsid w:val="000F36B7"/>
    <w:rsid w:val="000F3B05"/>
    <w:rsid w:val="000F3CEA"/>
    <w:rsid w:val="000F3E9C"/>
    <w:rsid w:val="000F6586"/>
    <w:rsid w:val="000F67AE"/>
    <w:rsid w:val="00101214"/>
    <w:rsid w:val="0010198F"/>
    <w:rsid w:val="00101F1C"/>
    <w:rsid w:val="00103BF8"/>
    <w:rsid w:val="00104FEE"/>
    <w:rsid w:val="00105B0E"/>
    <w:rsid w:val="00112345"/>
    <w:rsid w:val="0011764B"/>
    <w:rsid w:val="00121427"/>
    <w:rsid w:val="0012159F"/>
    <w:rsid w:val="00121B5B"/>
    <w:rsid w:val="00121FFA"/>
    <w:rsid w:val="00124668"/>
    <w:rsid w:val="00125767"/>
    <w:rsid w:val="00127D00"/>
    <w:rsid w:val="00132E0D"/>
    <w:rsid w:val="00133892"/>
    <w:rsid w:val="00135564"/>
    <w:rsid w:val="00136103"/>
    <w:rsid w:val="00136B01"/>
    <w:rsid w:val="00144171"/>
    <w:rsid w:val="001454FC"/>
    <w:rsid w:val="00147DD8"/>
    <w:rsid w:val="00151498"/>
    <w:rsid w:val="00151AF7"/>
    <w:rsid w:val="00160364"/>
    <w:rsid w:val="00162280"/>
    <w:rsid w:val="00162375"/>
    <w:rsid w:val="00162A8C"/>
    <w:rsid w:val="0016458C"/>
    <w:rsid w:val="00165120"/>
    <w:rsid w:val="00166BBB"/>
    <w:rsid w:val="00167C5C"/>
    <w:rsid w:val="00167E4A"/>
    <w:rsid w:val="0017112E"/>
    <w:rsid w:val="001718AE"/>
    <w:rsid w:val="001738B4"/>
    <w:rsid w:val="00173DE4"/>
    <w:rsid w:val="0017543D"/>
    <w:rsid w:val="00177F68"/>
    <w:rsid w:val="00180936"/>
    <w:rsid w:val="00193E0D"/>
    <w:rsid w:val="00196B40"/>
    <w:rsid w:val="00197851"/>
    <w:rsid w:val="001A0401"/>
    <w:rsid w:val="001A0915"/>
    <w:rsid w:val="001A3167"/>
    <w:rsid w:val="001A3200"/>
    <w:rsid w:val="001A4B0D"/>
    <w:rsid w:val="001A4C01"/>
    <w:rsid w:val="001B32E1"/>
    <w:rsid w:val="001B3E0E"/>
    <w:rsid w:val="001B556D"/>
    <w:rsid w:val="001B576D"/>
    <w:rsid w:val="001B743C"/>
    <w:rsid w:val="001B7B44"/>
    <w:rsid w:val="001C1124"/>
    <w:rsid w:val="001C1A0E"/>
    <w:rsid w:val="001C40CF"/>
    <w:rsid w:val="001D0AAD"/>
    <w:rsid w:val="001D0E6B"/>
    <w:rsid w:val="001D310B"/>
    <w:rsid w:val="001D5512"/>
    <w:rsid w:val="001D760F"/>
    <w:rsid w:val="001D7624"/>
    <w:rsid w:val="001D7CF7"/>
    <w:rsid w:val="001E1F5D"/>
    <w:rsid w:val="001E279C"/>
    <w:rsid w:val="001E3011"/>
    <w:rsid w:val="001E53E4"/>
    <w:rsid w:val="001E5782"/>
    <w:rsid w:val="001E6908"/>
    <w:rsid w:val="001F06A8"/>
    <w:rsid w:val="001F2B6B"/>
    <w:rsid w:val="001F4BBF"/>
    <w:rsid w:val="001F54DF"/>
    <w:rsid w:val="001F5606"/>
    <w:rsid w:val="00202B43"/>
    <w:rsid w:val="00202D24"/>
    <w:rsid w:val="00203299"/>
    <w:rsid w:val="00206146"/>
    <w:rsid w:val="002066AB"/>
    <w:rsid w:val="00207B8C"/>
    <w:rsid w:val="002118DE"/>
    <w:rsid w:val="00211E86"/>
    <w:rsid w:val="0021238E"/>
    <w:rsid w:val="002169E4"/>
    <w:rsid w:val="002211CD"/>
    <w:rsid w:val="0022194B"/>
    <w:rsid w:val="002224A8"/>
    <w:rsid w:val="00222B19"/>
    <w:rsid w:val="00223249"/>
    <w:rsid w:val="002255FE"/>
    <w:rsid w:val="002256F7"/>
    <w:rsid w:val="002257CB"/>
    <w:rsid w:val="00225D30"/>
    <w:rsid w:val="00225DDB"/>
    <w:rsid w:val="00226DB8"/>
    <w:rsid w:val="00230095"/>
    <w:rsid w:val="00230EC4"/>
    <w:rsid w:val="00233738"/>
    <w:rsid w:val="00233A81"/>
    <w:rsid w:val="00234408"/>
    <w:rsid w:val="00234C09"/>
    <w:rsid w:val="00236BBD"/>
    <w:rsid w:val="002420A6"/>
    <w:rsid w:val="00242141"/>
    <w:rsid w:val="00244CEF"/>
    <w:rsid w:val="00246EE3"/>
    <w:rsid w:val="002513BA"/>
    <w:rsid w:val="0025149E"/>
    <w:rsid w:val="0025280C"/>
    <w:rsid w:val="00252A08"/>
    <w:rsid w:val="00253432"/>
    <w:rsid w:val="00260049"/>
    <w:rsid w:val="00260984"/>
    <w:rsid w:val="002618BE"/>
    <w:rsid w:val="002625EA"/>
    <w:rsid w:val="00264C16"/>
    <w:rsid w:val="00264E80"/>
    <w:rsid w:val="00265EAD"/>
    <w:rsid w:val="002663D1"/>
    <w:rsid w:val="00266657"/>
    <w:rsid w:val="00266741"/>
    <w:rsid w:val="002667D6"/>
    <w:rsid w:val="002701E2"/>
    <w:rsid w:val="002701F9"/>
    <w:rsid w:val="00271888"/>
    <w:rsid w:val="00271AFE"/>
    <w:rsid w:val="00272238"/>
    <w:rsid w:val="002726F6"/>
    <w:rsid w:val="00273B53"/>
    <w:rsid w:val="0027502A"/>
    <w:rsid w:val="002753F6"/>
    <w:rsid w:val="00275A0A"/>
    <w:rsid w:val="00275F2E"/>
    <w:rsid w:val="0028162C"/>
    <w:rsid w:val="00281936"/>
    <w:rsid w:val="00283C79"/>
    <w:rsid w:val="002864D5"/>
    <w:rsid w:val="0028740A"/>
    <w:rsid w:val="002915E8"/>
    <w:rsid w:val="00291D94"/>
    <w:rsid w:val="00292ACD"/>
    <w:rsid w:val="002932E0"/>
    <w:rsid w:val="002A194E"/>
    <w:rsid w:val="002A39A5"/>
    <w:rsid w:val="002A48F1"/>
    <w:rsid w:val="002A6AA8"/>
    <w:rsid w:val="002A7AEC"/>
    <w:rsid w:val="002B0A35"/>
    <w:rsid w:val="002B0A72"/>
    <w:rsid w:val="002B0B9D"/>
    <w:rsid w:val="002B234B"/>
    <w:rsid w:val="002B2E2F"/>
    <w:rsid w:val="002B3E7D"/>
    <w:rsid w:val="002B45D0"/>
    <w:rsid w:val="002B4630"/>
    <w:rsid w:val="002B68A9"/>
    <w:rsid w:val="002B6FA4"/>
    <w:rsid w:val="002B6FE9"/>
    <w:rsid w:val="002B7AB4"/>
    <w:rsid w:val="002C03CE"/>
    <w:rsid w:val="002C0956"/>
    <w:rsid w:val="002C1855"/>
    <w:rsid w:val="002C2422"/>
    <w:rsid w:val="002C2763"/>
    <w:rsid w:val="002C2C1F"/>
    <w:rsid w:val="002C6F8D"/>
    <w:rsid w:val="002D1AB7"/>
    <w:rsid w:val="002D47D1"/>
    <w:rsid w:val="002D75E3"/>
    <w:rsid w:val="002D7925"/>
    <w:rsid w:val="002E031E"/>
    <w:rsid w:val="002E0C88"/>
    <w:rsid w:val="002E0E1F"/>
    <w:rsid w:val="002E168C"/>
    <w:rsid w:val="002E3697"/>
    <w:rsid w:val="002E3827"/>
    <w:rsid w:val="002E4668"/>
    <w:rsid w:val="002E5CBB"/>
    <w:rsid w:val="002E60B0"/>
    <w:rsid w:val="002E6E79"/>
    <w:rsid w:val="002E7EB4"/>
    <w:rsid w:val="002F0A54"/>
    <w:rsid w:val="002F126B"/>
    <w:rsid w:val="002F243A"/>
    <w:rsid w:val="002F2910"/>
    <w:rsid w:val="002F2C82"/>
    <w:rsid w:val="002F3D49"/>
    <w:rsid w:val="002F569E"/>
    <w:rsid w:val="002F673B"/>
    <w:rsid w:val="002F6762"/>
    <w:rsid w:val="002F7197"/>
    <w:rsid w:val="002F7B2C"/>
    <w:rsid w:val="00305860"/>
    <w:rsid w:val="0030685F"/>
    <w:rsid w:val="00306A7A"/>
    <w:rsid w:val="0030747B"/>
    <w:rsid w:val="00310158"/>
    <w:rsid w:val="003131A2"/>
    <w:rsid w:val="003136BB"/>
    <w:rsid w:val="00320789"/>
    <w:rsid w:val="00320BBB"/>
    <w:rsid w:val="003213E5"/>
    <w:rsid w:val="003213EF"/>
    <w:rsid w:val="003217D1"/>
    <w:rsid w:val="003217F7"/>
    <w:rsid w:val="00322683"/>
    <w:rsid w:val="00322839"/>
    <w:rsid w:val="003246FA"/>
    <w:rsid w:val="00325C42"/>
    <w:rsid w:val="00327BCF"/>
    <w:rsid w:val="00327C75"/>
    <w:rsid w:val="00331190"/>
    <w:rsid w:val="00331BE9"/>
    <w:rsid w:val="00331C0E"/>
    <w:rsid w:val="00332343"/>
    <w:rsid w:val="00334823"/>
    <w:rsid w:val="003417FC"/>
    <w:rsid w:val="00342005"/>
    <w:rsid w:val="00342116"/>
    <w:rsid w:val="00344FCD"/>
    <w:rsid w:val="00346E52"/>
    <w:rsid w:val="0035000D"/>
    <w:rsid w:val="00352DAC"/>
    <w:rsid w:val="00352DEF"/>
    <w:rsid w:val="003540CE"/>
    <w:rsid w:val="00355465"/>
    <w:rsid w:val="0035764F"/>
    <w:rsid w:val="00362062"/>
    <w:rsid w:val="00362423"/>
    <w:rsid w:val="00362841"/>
    <w:rsid w:val="0036604F"/>
    <w:rsid w:val="00366468"/>
    <w:rsid w:val="00372732"/>
    <w:rsid w:val="0037354B"/>
    <w:rsid w:val="00373E2E"/>
    <w:rsid w:val="003751DD"/>
    <w:rsid w:val="00376000"/>
    <w:rsid w:val="00376ECB"/>
    <w:rsid w:val="003773CA"/>
    <w:rsid w:val="00380FB3"/>
    <w:rsid w:val="00381148"/>
    <w:rsid w:val="003819D0"/>
    <w:rsid w:val="00382858"/>
    <w:rsid w:val="003829EE"/>
    <w:rsid w:val="00382EF8"/>
    <w:rsid w:val="003832B4"/>
    <w:rsid w:val="003848FB"/>
    <w:rsid w:val="00392DE3"/>
    <w:rsid w:val="00392E58"/>
    <w:rsid w:val="00395010"/>
    <w:rsid w:val="00395F2A"/>
    <w:rsid w:val="00396530"/>
    <w:rsid w:val="003969C1"/>
    <w:rsid w:val="00397339"/>
    <w:rsid w:val="003977E9"/>
    <w:rsid w:val="003A0174"/>
    <w:rsid w:val="003A01D7"/>
    <w:rsid w:val="003A170A"/>
    <w:rsid w:val="003A3125"/>
    <w:rsid w:val="003A3D8F"/>
    <w:rsid w:val="003A3F29"/>
    <w:rsid w:val="003A641F"/>
    <w:rsid w:val="003A732F"/>
    <w:rsid w:val="003A7CC3"/>
    <w:rsid w:val="003B2A2F"/>
    <w:rsid w:val="003B64BD"/>
    <w:rsid w:val="003B7BB3"/>
    <w:rsid w:val="003C4CF9"/>
    <w:rsid w:val="003C681C"/>
    <w:rsid w:val="003C693B"/>
    <w:rsid w:val="003D1A1D"/>
    <w:rsid w:val="003D221C"/>
    <w:rsid w:val="003D2831"/>
    <w:rsid w:val="003D2C31"/>
    <w:rsid w:val="003D3372"/>
    <w:rsid w:val="003D3815"/>
    <w:rsid w:val="003D6E92"/>
    <w:rsid w:val="003D7FBA"/>
    <w:rsid w:val="003E0EC2"/>
    <w:rsid w:val="003E36DC"/>
    <w:rsid w:val="003E3749"/>
    <w:rsid w:val="003E6A4B"/>
    <w:rsid w:val="003F14F2"/>
    <w:rsid w:val="003F18EF"/>
    <w:rsid w:val="003F1BCB"/>
    <w:rsid w:val="003F4654"/>
    <w:rsid w:val="0040081B"/>
    <w:rsid w:val="00400A10"/>
    <w:rsid w:val="00401127"/>
    <w:rsid w:val="004031BD"/>
    <w:rsid w:val="0040532D"/>
    <w:rsid w:val="00407398"/>
    <w:rsid w:val="004077B4"/>
    <w:rsid w:val="00407D7B"/>
    <w:rsid w:val="00407D9C"/>
    <w:rsid w:val="00410C75"/>
    <w:rsid w:val="004124B7"/>
    <w:rsid w:val="0041342F"/>
    <w:rsid w:val="00413606"/>
    <w:rsid w:val="00414B9D"/>
    <w:rsid w:val="004203CB"/>
    <w:rsid w:val="004206FD"/>
    <w:rsid w:val="0042132E"/>
    <w:rsid w:val="00421E30"/>
    <w:rsid w:val="0042343F"/>
    <w:rsid w:val="004235C3"/>
    <w:rsid w:val="004246D6"/>
    <w:rsid w:val="00424BDC"/>
    <w:rsid w:val="00426753"/>
    <w:rsid w:val="004276C9"/>
    <w:rsid w:val="004322CE"/>
    <w:rsid w:val="0043292E"/>
    <w:rsid w:val="0043349D"/>
    <w:rsid w:val="0043401F"/>
    <w:rsid w:val="00434082"/>
    <w:rsid w:val="00435C0F"/>
    <w:rsid w:val="00435ED7"/>
    <w:rsid w:val="00436A18"/>
    <w:rsid w:val="00440537"/>
    <w:rsid w:val="00443DF1"/>
    <w:rsid w:val="00444000"/>
    <w:rsid w:val="004478C1"/>
    <w:rsid w:val="00450587"/>
    <w:rsid w:val="004600C3"/>
    <w:rsid w:val="004612B6"/>
    <w:rsid w:val="0046132D"/>
    <w:rsid w:val="004618FE"/>
    <w:rsid w:val="0046205A"/>
    <w:rsid w:val="0046259B"/>
    <w:rsid w:val="00463619"/>
    <w:rsid w:val="00464E6E"/>
    <w:rsid w:val="0046715F"/>
    <w:rsid w:val="00467817"/>
    <w:rsid w:val="004705A4"/>
    <w:rsid w:val="004705A8"/>
    <w:rsid w:val="00470FFB"/>
    <w:rsid w:val="00471FD4"/>
    <w:rsid w:val="0047223F"/>
    <w:rsid w:val="00472360"/>
    <w:rsid w:val="00473AC4"/>
    <w:rsid w:val="004747A4"/>
    <w:rsid w:val="00476D00"/>
    <w:rsid w:val="0047703A"/>
    <w:rsid w:val="00477D34"/>
    <w:rsid w:val="004803F3"/>
    <w:rsid w:val="0048255C"/>
    <w:rsid w:val="00482B48"/>
    <w:rsid w:val="004838E1"/>
    <w:rsid w:val="00486D0A"/>
    <w:rsid w:val="00486F72"/>
    <w:rsid w:val="00486F91"/>
    <w:rsid w:val="00487B75"/>
    <w:rsid w:val="004905C5"/>
    <w:rsid w:val="00490BBF"/>
    <w:rsid w:val="00490EB1"/>
    <w:rsid w:val="0049162E"/>
    <w:rsid w:val="004919B9"/>
    <w:rsid w:val="0049263A"/>
    <w:rsid w:val="00492B74"/>
    <w:rsid w:val="004A582E"/>
    <w:rsid w:val="004A5A8B"/>
    <w:rsid w:val="004A5EF6"/>
    <w:rsid w:val="004A6622"/>
    <w:rsid w:val="004B06BF"/>
    <w:rsid w:val="004B1010"/>
    <w:rsid w:val="004B1BCA"/>
    <w:rsid w:val="004B4D28"/>
    <w:rsid w:val="004C07D8"/>
    <w:rsid w:val="004C09F3"/>
    <w:rsid w:val="004C2D62"/>
    <w:rsid w:val="004C45E6"/>
    <w:rsid w:val="004C48A4"/>
    <w:rsid w:val="004C6C61"/>
    <w:rsid w:val="004D0430"/>
    <w:rsid w:val="004D3DF6"/>
    <w:rsid w:val="004D4A16"/>
    <w:rsid w:val="004D4B1D"/>
    <w:rsid w:val="004D6005"/>
    <w:rsid w:val="004E0ACC"/>
    <w:rsid w:val="004E2719"/>
    <w:rsid w:val="004E2D10"/>
    <w:rsid w:val="004E5BB6"/>
    <w:rsid w:val="004F0BA2"/>
    <w:rsid w:val="004F140E"/>
    <w:rsid w:val="004F33BB"/>
    <w:rsid w:val="004F4867"/>
    <w:rsid w:val="004F5046"/>
    <w:rsid w:val="004F55EE"/>
    <w:rsid w:val="004F70B1"/>
    <w:rsid w:val="00501402"/>
    <w:rsid w:val="00501B05"/>
    <w:rsid w:val="00501B51"/>
    <w:rsid w:val="00503FF4"/>
    <w:rsid w:val="00504AEC"/>
    <w:rsid w:val="00505AF5"/>
    <w:rsid w:val="00506212"/>
    <w:rsid w:val="005062CF"/>
    <w:rsid w:val="00507784"/>
    <w:rsid w:val="00523C1B"/>
    <w:rsid w:val="00525E03"/>
    <w:rsid w:val="0052725D"/>
    <w:rsid w:val="005279AD"/>
    <w:rsid w:val="00535038"/>
    <w:rsid w:val="0053569B"/>
    <w:rsid w:val="00536570"/>
    <w:rsid w:val="00536AB2"/>
    <w:rsid w:val="00537C2B"/>
    <w:rsid w:val="005411BD"/>
    <w:rsid w:val="00541C8D"/>
    <w:rsid w:val="00543050"/>
    <w:rsid w:val="00544D55"/>
    <w:rsid w:val="00544E85"/>
    <w:rsid w:val="0054719C"/>
    <w:rsid w:val="0054724A"/>
    <w:rsid w:val="00551311"/>
    <w:rsid w:val="00551386"/>
    <w:rsid w:val="00551976"/>
    <w:rsid w:val="00552EEF"/>
    <w:rsid w:val="00554DC0"/>
    <w:rsid w:val="00554F45"/>
    <w:rsid w:val="00555330"/>
    <w:rsid w:val="005569B2"/>
    <w:rsid w:val="0056002B"/>
    <w:rsid w:val="005603E1"/>
    <w:rsid w:val="005633E8"/>
    <w:rsid w:val="005667BC"/>
    <w:rsid w:val="00567091"/>
    <w:rsid w:val="00567B4F"/>
    <w:rsid w:val="00570AF8"/>
    <w:rsid w:val="005718E7"/>
    <w:rsid w:val="00573788"/>
    <w:rsid w:val="00576F9B"/>
    <w:rsid w:val="005806CF"/>
    <w:rsid w:val="00583D97"/>
    <w:rsid w:val="00584B34"/>
    <w:rsid w:val="0058500B"/>
    <w:rsid w:val="00585799"/>
    <w:rsid w:val="005866F8"/>
    <w:rsid w:val="0059059C"/>
    <w:rsid w:val="005922A7"/>
    <w:rsid w:val="00594085"/>
    <w:rsid w:val="00594C68"/>
    <w:rsid w:val="00596C2F"/>
    <w:rsid w:val="0059704C"/>
    <w:rsid w:val="005A07B0"/>
    <w:rsid w:val="005A1E64"/>
    <w:rsid w:val="005A6BCA"/>
    <w:rsid w:val="005B2D57"/>
    <w:rsid w:val="005B2F24"/>
    <w:rsid w:val="005B4314"/>
    <w:rsid w:val="005B5868"/>
    <w:rsid w:val="005B6A92"/>
    <w:rsid w:val="005B79FE"/>
    <w:rsid w:val="005C11C0"/>
    <w:rsid w:val="005C1664"/>
    <w:rsid w:val="005C5E23"/>
    <w:rsid w:val="005D265D"/>
    <w:rsid w:val="005D5AA5"/>
    <w:rsid w:val="005D6B53"/>
    <w:rsid w:val="005D7567"/>
    <w:rsid w:val="005E2D82"/>
    <w:rsid w:val="005E3729"/>
    <w:rsid w:val="005E4BE0"/>
    <w:rsid w:val="005E6859"/>
    <w:rsid w:val="005F120B"/>
    <w:rsid w:val="005F2654"/>
    <w:rsid w:val="005F354C"/>
    <w:rsid w:val="005F3C96"/>
    <w:rsid w:val="005F43B2"/>
    <w:rsid w:val="005F62CC"/>
    <w:rsid w:val="006001EA"/>
    <w:rsid w:val="0060055F"/>
    <w:rsid w:val="00601D91"/>
    <w:rsid w:val="00603399"/>
    <w:rsid w:val="00606DF2"/>
    <w:rsid w:val="00610383"/>
    <w:rsid w:val="00610607"/>
    <w:rsid w:val="00613F7B"/>
    <w:rsid w:val="00616314"/>
    <w:rsid w:val="00616F2A"/>
    <w:rsid w:val="00617611"/>
    <w:rsid w:val="00621DD3"/>
    <w:rsid w:val="00622479"/>
    <w:rsid w:val="00622EF3"/>
    <w:rsid w:val="0062542F"/>
    <w:rsid w:val="0062745B"/>
    <w:rsid w:val="006276F8"/>
    <w:rsid w:val="00627B4C"/>
    <w:rsid w:val="00627DCA"/>
    <w:rsid w:val="00634CDD"/>
    <w:rsid w:val="00640023"/>
    <w:rsid w:val="00640D64"/>
    <w:rsid w:val="00641F03"/>
    <w:rsid w:val="00644049"/>
    <w:rsid w:val="00647827"/>
    <w:rsid w:val="00651B58"/>
    <w:rsid w:val="00652CF4"/>
    <w:rsid w:val="00656508"/>
    <w:rsid w:val="00657E24"/>
    <w:rsid w:val="006616E9"/>
    <w:rsid w:val="00662D3F"/>
    <w:rsid w:val="00663FA2"/>
    <w:rsid w:val="0066439E"/>
    <w:rsid w:val="00665A89"/>
    <w:rsid w:val="00666553"/>
    <w:rsid w:val="00666B37"/>
    <w:rsid w:val="006672B1"/>
    <w:rsid w:val="00670F0D"/>
    <w:rsid w:val="0067203C"/>
    <w:rsid w:val="00674A92"/>
    <w:rsid w:val="00676A30"/>
    <w:rsid w:val="00676B8C"/>
    <w:rsid w:val="006808B6"/>
    <w:rsid w:val="006839F9"/>
    <w:rsid w:val="0068539A"/>
    <w:rsid w:val="00685DF3"/>
    <w:rsid w:val="00686E38"/>
    <w:rsid w:val="00687EDC"/>
    <w:rsid w:val="00691316"/>
    <w:rsid w:val="00691507"/>
    <w:rsid w:val="00692035"/>
    <w:rsid w:val="00694AAD"/>
    <w:rsid w:val="00696B72"/>
    <w:rsid w:val="006A29F5"/>
    <w:rsid w:val="006A2EB8"/>
    <w:rsid w:val="006A56BD"/>
    <w:rsid w:val="006A57B1"/>
    <w:rsid w:val="006A5A47"/>
    <w:rsid w:val="006B0D10"/>
    <w:rsid w:val="006B19EE"/>
    <w:rsid w:val="006B251F"/>
    <w:rsid w:val="006B2D11"/>
    <w:rsid w:val="006B356D"/>
    <w:rsid w:val="006B749D"/>
    <w:rsid w:val="006C2764"/>
    <w:rsid w:val="006C41D7"/>
    <w:rsid w:val="006C4909"/>
    <w:rsid w:val="006C6011"/>
    <w:rsid w:val="006C707B"/>
    <w:rsid w:val="006D35F1"/>
    <w:rsid w:val="006D47CA"/>
    <w:rsid w:val="006D4A6F"/>
    <w:rsid w:val="006D5395"/>
    <w:rsid w:val="006D53D1"/>
    <w:rsid w:val="006D79FC"/>
    <w:rsid w:val="006E04CA"/>
    <w:rsid w:val="006E3248"/>
    <w:rsid w:val="006E4385"/>
    <w:rsid w:val="006E55BC"/>
    <w:rsid w:val="006E6B98"/>
    <w:rsid w:val="006E79E7"/>
    <w:rsid w:val="006F27B1"/>
    <w:rsid w:val="006F40B0"/>
    <w:rsid w:val="006F5746"/>
    <w:rsid w:val="006F62A0"/>
    <w:rsid w:val="006F6391"/>
    <w:rsid w:val="006F6809"/>
    <w:rsid w:val="00700DEB"/>
    <w:rsid w:val="007016D5"/>
    <w:rsid w:val="00703FFE"/>
    <w:rsid w:val="007046EF"/>
    <w:rsid w:val="0070713A"/>
    <w:rsid w:val="00711A28"/>
    <w:rsid w:val="007122A1"/>
    <w:rsid w:val="0071310E"/>
    <w:rsid w:val="007146EE"/>
    <w:rsid w:val="00714DF8"/>
    <w:rsid w:val="00716DA2"/>
    <w:rsid w:val="00717043"/>
    <w:rsid w:val="00720345"/>
    <w:rsid w:val="00723E39"/>
    <w:rsid w:val="00730B2D"/>
    <w:rsid w:val="007316B3"/>
    <w:rsid w:val="00732064"/>
    <w:rsid w:val="00732D62"/>
    <w:rsid w:val="0073371A"/>
    <w:rsid w:val="00733D06"/>
    <w:rsid w:val="0073508D"/>
    <w:rsid w:val="007409C7"/>
    <w:rsid w:val="00741027"/>
    <w:rsid w:val="0074157A"/>
    <w:rsid w:val="00742F5B"/>
    <w:rsid w:val="00743B82"/>
    <w:rsid w:val="00744845"/>
    <w:rsid w:val="00744C9D"/>
    <w:rsid w:val="0074577E"/>
    <w:rsid w:val="007470DA"/>
    <w:rsid w:val="00750037"/>
    <w:rsid w:val="007512D7"/>
    <w:rsid w:val="0075149E"/>
    <w:rsid w:val="007518C7"/>
    <w:rsid w:val="00751A72"/>
    <w:rsid w:val="00752A59"/>
    <w:rsid w:val="007567BE"/>
    <w:rsid w:val="007572E3"/>
    <w:rsid w:val="00757E9A"/>
    <w:rsid w:val="00762CEA"/>
    <w:rsid w:val="00763151"/>
    <w:rsid w:val="00763B8A"/>
    <w:rsid w:val="00763BF2"/>
    <w:rsid w:val="00765BFA"/>
    <w:rsid w:val="00766C09"/>
    <w:rsid w:val="007670D3"/>
    <w:rsid w:val="00770540"/>
    <w:rsid w:val="007740FD"/>
    <w:rsid w:val="00774B08"/>
    <w:rsid w:val="00775F8E"/>
    <w:rsid w:val="00781ED0"/>
    <w:rsid w:val="007821A6"/>
    <w:rsid w:val="00782F52"/>
    <w:rsid w:val="007863ED"/>
    <w:rsid w:val="007926CA"/>
    <w:rsid w:val="0079459E"/>
    <w:rsid w:val="00794FED"/>
    <w:rsid w:val="00795F46"/>
    <w:rsid w:val="00796798"/>
    <w:rsid w:val="007A43BE"/>
    <w:rsid w:val="007A7DDA"/>
    <w:rsid w:val="007B0A21"/>
    <w:rsid w:val="007B0B91"/>
    <w:rsid w:val="007B12F9"/>
    <w:rsid w:val="007B1FC6"/>
    <w:rsid w:val="007B32B3"/>
    <w:rsid w:val="007B75CB"/>
    <w:rsid w:val="007B7C0D"/>
    <w:rsid w:val="007C0DCF"/>
    <w:rsid w:val="007C1F8C"/>
    <w:rsid w:val="007C5D4B"/>
    <w:rsid w:val="007C62CB"/>
    <w:rsid w:val="007C7BED"/>
    <w:rsid w:val="007D1F8F"/>
    <w:rsid w:val="007D40D9"/>
    <w:rsid w:val="007D5438"/>
    <w:rsid w:val="007D6832"/>
    <w:rsid w:val="007D7158"/>
    <w:rsid w:val="007E1896"/>
    <w:rsid w:val="007E2FBC"/>
    <w:rsid w:val="007E4484"/>
    <w:rsid w:val="007E6304"/>
    <w:rsid w:val="007E6550"/>
    <w:rsid w:val="007E681A"/>
    <w:rsid w:val="007E73A6"/>
    <w:rsid w:val="007F03FF"/>
    <w:rsid w:val="007F0DE2"/>
    <w:rsid w:val="007F39C7"/>
    <w:rsid w:val="007F4956"/>
    <w:rsid w:val="007F6550"/>
    <w:rsid w:val="007F711D"/>
    <w:rsid w:val="00800083"/>
    <w:rsid w:val="008014D6"/>
    <w:rsid w:val="00801F52"/>
    <w:rsid w:val="008032A2"/>
    <w:rsid w:val="00804088"/>
    <w:rsid w:val="00805605"/>
    <w:rsid w:val="0080618A"/>
    <w:rsid w:val="00806EB4"/>
    <w:rsid w:val="00810EA1"/>
    <w:rsid w:val="008110A5"/>
    <w:rsid w:val="008119D0"/>
    <w:rsid w:val="00813878"/>
    <w:rsid w:val="00816988"/>
    <w:rsid w:val="0082049E"/>
    <w:rsid w:val="00821848"/>
    <w:rsid w:val="00822BFA"/>
    <w:rsid w:val="00822F18"/>
    <w:rsid w:val="008239A5"/>
    <w:rsid w:val="00826B9E"/>
    <w:rsid w:val="00826C72"/>
    <w:rsid w:val="00826F24"/>
    <w:rsid w:val="00831089"/>
    <w:rsid w:val="00831FF9"/>
    <w:rsid w:val="0084580E"/>
    <w:rsid w:val="00845D08"/>
    <w:rsid w:val="00851A64"/>
    <w:rsid w:val="00852464"/>
    <w:rsid w:val="00852E38"/>
    <w:rsid w:val="008569A5"/>
    <w:rsid w:val="00856C17"/>
    <w:rsid w:val="0085732C"/>
    <w:rsid w:val="008606BB"/>
    <w:rsid w:val="00861F39"/>
    <w:rsid w:val="00865008"/>
    <w:rsid w:val="00865128"/>
    <w:rsid w:val="00865293"/>
    <w:rsid w:val="00865F9B"/>
    <w:rsid w:val="00867F20"/>
    <w:rsid w:val="008723BF"/>
    <w:rsid w:val="00873043"/>
    <w:rsid w:val="00873B77"/>
    <w:rsid w:val="00873FD4"/>
    <w:rsid w:val="00874B48"/>
    <w:rsid w:val="00877BA1"/>
    <w:rsid w:val="00880224"/>
    <w:rsid w:val="00881E39"/>
    <w:rsid w:val="008842E1"/>
    <w:rsid w:val="00884E8D"/>
    <w:rsid w:val="0089082F"/>
    <w:rsid w:val="00891D9C"/>
    <w:rsid w:val="008924BD"/>
    <w:rsid w:val="00892AAD"/>
    <w:rsid w:val="00894417"/>
    <w:rsid w:val="00894CF1"/>
    <w:rsid w:val="0089627E"/>
    <w:rsid w:val="008966D0"/>
    <w:rsid w:val="0089795F"/>
    <w:rsid w:val="00897DD9"/>
    <w:rsid w:val="008A12EA"/>
    <w:rsid w:val="008A13F5"/>
    <w:rsid w:val="008B01BB"/>
    <w:rsid w:val="008B0907"/>
    <w:rsid w:val="008B10E0"/>
    <w:rsid w:val="008B7FFD"/>
    <w:rsid w:val="008C27B1"/>
    <w:rsid w:val="008C4AA5"/>
    <w:rsid w:val="008C65E1"/>
    <w:rsid w:val="008C6C53"/>
    <w:rsid w:val="008C7DC7"/>
    <w:rsid w:val="008D0D1F"/>
    <w:rsid w:val="008D25FF"/>
    <w:rsid w:val="008D298E"/>
    <w:rsid w:val="008D41F6"/>
    <w:rsid w:val="008D59F8"/>
    <w:rsid w:val="008D7F47"/>
    <w:rsid w:val="008E056B"/>
    <w:rsid w:val="008E1006"/>
    <w:rsid w:val="008E2894"/>
    <w:rsid w:val="008E5683"/>
    <w:rsid w:val="008F1E4E"/>
    <w:rsid w:val="008F2014"/>
    <w:rsid w:val="008F3739"/>
    <w:rsid w:val="008F53AE"/>
    <w:rsid w:val="008F7371"/>
    <w:rsid w:val="008F7D93"/>
    <w:rsid w:val="00901D7E"/>
    <w:rsid w:val="009035EE"/>
    <w:rsid w:val="0090772F"/>
    <w:rsid w:val="009078FE"/>
    <w:rsid w:val="00910036"/>
    <w:rsid w:val="009114D9"/>
    <w:rsid w:val="00912BE5"/>
    <w:rsid w:val="00913B7A"/>
    <w:rsid w:val="00913C00"/>
    <w:rsid w:val="00914718"/>
    <w:rsid w:val="009150D4"/>
    <w:rsid w:val="0091644C"/>
    <w:rsid w:val="00917835"/>
    <w:rsid w:val="00917A99"/>
    <w:rsid w:val="00921B40"/>
    <w:rsid w:val="00921B66"/>
    <w:rsid w:val="00922DF6"/>
    <w:rsid w:val="0092339C"/>
    <w:rsid w:val="009252D6"/>
    <w:rsid w:val="00925610"/>
    <w:rsid w:val="00932E18"/>
    <w:rsid w:val="009357BE"/>
    <w:rsid w:val="00943340"/>
    <w:rsid w:val="00943B61"/>
    <w:rsid w:val="00946A6A"/>
    <w:rsid w:val="00946BEE"/>
    <w:rsid w:val="00956071"/>
    <w:rsid w:val="00961464"/>
    <w:rsid w:val="00962F8F"/>
    <w:rsid w:val="009638C1"/>
    <w:rsid w:val="009673D7"/>
    <w:rsid w:val="00967749"/>
    <w:rsid w:val="0097211D"/>
    <w:rsid w:val="0097576D"/>
    <w:rsid w:val="0097726D"/>
    <w:rsid w:val="00977F08"/>
    <w:rsid w:val="00977FF7"/>
    <w:rsid w:val="009811D0"/>
    <w:rsid w:val="00983F64"/>
    <w:rsid w:val="00986EAD"/>
    <w:rsid w:val="00986F20"/>
    <w:rsid w:val="00986FA0"/>
    <w:rsid w:val="00991D41"/>
    <w:rsid w:val="0099258B"/>
    <w:rsid w:val="00993038"/>
    <w:rsid w:val="009976D3"/>
    <w:rsid w:val="009A1042"/>
    <w:rsid w:val="009A2C40"/>
    <w:rsid w:val="009A462E"/>
    <w:rsid w:val="009A5CB4"/>
    <w:rsid w:val="009B3801"/>
    <w:rsid w:val="009B3BE6"/>
    <w:rsid w:val="009B4607"/>
    <w:rsid w:val="009B4DEF"/>
    <w:rsid w:val="009B5924"/>
    <w:rsid w:val="009B5A75"/>
    <w:rsid w:val="009B6196"/>
    <w:rsid w:val="009C0BF3"/>
    <w:rsid w:val="009C362A"/>
    <w:rsid w:val="009C581C"/>
    <w:rsid w:val="009C6EEC"/>
    <w:rsid w:val="009D01FA"/>
    <w:rsid w:val="009D0BBA"/>
    <w:rsid w:val="009D7913"/>
    <w:rsid w:val="009E1061"/>
    <w:rsid w:val="009E2467"/>
    <w:rsid w:val="009E52F9"/>
    <w:rsid w:val="009E57F0"/>
    <w:rsid w:val="009F0784"/>
    <w:rsid w:val="009F1B64"/>
    <w:rsid w:val="009F2441"/>
    <w:rsid w:val="009F3FAB"/>
    <w:rsid w:val="009F43D6"/>
    <w:rsid w:val="009F4646"/>
    <w:rsid w:val="009F6220"/>
    <w:rsid w:val="009F65CF"/>
    <w:rsid w:val="00A007E3"/>
    <w:rsid w:val="00A01356"/>
    <w:rsid w:val="00A01FB4"/>
    <w:rsid w:val="00A02D1C"/>
    <w:rsid w:val="00A032EE"/>
    <w:rsid w:val="00A03BD7"/>
    <w:rsid w:val="00A03FA9"/>
    <w:rsid w:val="00A03FE0"/>
    <w:rsid w:val="00A056F4"/>
    <w:rsid w:val="00A05B2F"/>
    <w:rsid w:val="00A05FCF"/>
    <w:rsid w:val="00A06FEE"/>
    <w:rsid w:val="00A10C3F"/>
    <w:rsid w:val="00A113F1"/>
    <w:rsid w:val="00A12EEC"/>
    <w:rsid w:val="00A13822"/>
    <w:rsid w:val="00A15E57"/>
    <w:rsid w:val="00A1601A"/>
    <w:rsid w:val="00A163DA"/>
    <w:rsid w:val="00A16E37"/>
    <w:rsid w:val="00A16FF9"/>
    <w:rsid w:val="00A1756D"/>
    <w:rsid w:val="00A24127"/>
    <w:rsid w:val="00A2445B"/>
    <w:rsid w:val="00A255D1"/>
    <w:rsid w:val="00A2700E"/>
    <w:rsid w:val="00A2796F"/>
    <w:rsid w:val="00A31A83"/>
    <w:rsid w:val="00A33EF5"/>
    <w:rsid w:val="00A34273"/>
    <w:rsid w:val="00A35FA7"/>
    <w:rsid w:val="00A361E6"/>
    <w:rsid w:val="00A36B29"/>
    <w:rsid w:val="00A4311A"/>
    <w:rsid w:val="00A440EA"/>
    <w:rsid w:val="00A44FAF"/>
    <w:rsid w:val="00A460A7"/>
    <w:rsid w:val="00A4757B"/>
    <w:rsid w:val="00A543E6"/>
    <w:rsid w:val="00A566E3"/>
    <w:rsid w:val="00A625A1"/>
    <w:rsid w:val="00A64A6B"/>
    <w:rsid w:val="00A64F00"/>
    <w:rsid w:val="00A65C0C"/>
    <w:rsid w:val="00A66FB7"/>
    <w:rsid w:val="00A66FDF"/>
    <w:rsid w:val="00A67BCD"/>
    <w:rsid w:val="00A719EB"/>
    <w:rsid w:val="00A72888"/>
    <w:rsid w:val="00A72DF4"/>
    <w:rsid w:val="00A734E8"/>
    <w:rsid w:val="00A734FA"/>
    <w:rsid w:val="00A7381F"/>
    <w:rsid w:val="00A73B43"/>
    <w:rsid w:val="00A742DB"/>
    <w:rsid w:val="00A743B2"/>
    <w:rsid w:val="00A766A2"/>
    <w:rsid w:val="00A7793D"/>
    <w:rsid w:val="00A813A9"/>
    <w:rsid w:val="00A82FB9"/>
    <w:rsid w:val="00A84851"/>
    <w:rsid w:val="00A84A43"/>
    <w:rsid w:val="00A84AFD"/>
    <w:rsid w:val="00A85B06"/>
    <w:rsid w:val="00A85E4A"/>
    <w:rsid w:val="00A8644D"/>
    <w:rsid w:val="00A871E6"/>
    <w:rsid w:val="00A90659"/>
    <w:rsid w:val="00A91819"/>
    <w:rsid w:val="00A9253F"/>
    <w:rsid w:val="00A93EFB"/>
    <w:rsid w:val="00A9432F"/>
    <w:rsid w:val="00A95C18"/>
    <w:rsid w:val="00A96368"/>
    <w:rsid w:val="00A96490"/>
    <w:rsid w:val="00AA142F"/>
    <w:rsid w:val="00AA2B54"/>
    <w:rsid w:val="00AA361B"/>
    <w:rsid w:val="00AA3A8A"/>
    <w:rsid w:val="00AA44A8"/>
    <w:rsid w:val="00AA54A0"/>
    <w:rsid w:val="00AA750F"/>
    <w:rsid w:val="00AA78C8"/>
    <w:rsid w:val="00AB0680"/>
    <w:rsid w:val="00AB14C6"/>
    <w:rsid w:val="00AB274C"/>
    <w:rsid w:val="00AB29C9"/>
    <w:rsid w:val="00AB45A7"/>
    <w:rsid w:val="00AC0DB2"/>
    <w:rsid w:val="00AC2849"/>
    <w:rsid w:val="00AC36F7"/>
    <w:rsid w:val="00AC4095"/>
    <w:rsid w:val="00AC4C56"/>
    <w:rsid w:val="00AC7381"/>
    <w:rsid w:val="00AD03C6"/>
    <w:rsid w:val="00AD0594"/>
    <w:rsid w:val="00AD29E0"/>
    <w:rsid w:val="00AD3C99"/>
    <w:rsid w:val="00AD3DAE"/>
    <w:rsid w:val="00AD63F7"/>
    <w:rsid w:val="00AE1A47"/>
    <w:rsid w:val="00AE2F1C"/>
    <w:rsid w:val="00AE63FA"/>
    <w:rsid w:val="00AE6B46"/>
    <w:rsid w:val="00AE79FA"/>
    <w:rsid w:val="00AF1CF3"/>
    <w:rsid w:val="00AF2213"/>
    <w:rsid w:val="00AF3F45"/>
    <w:rsid w:val="00AF4A93"/>
    <w:rsid w:val="00AF557D"/>
    <w:rsid w:val="00AF6CC5"/>
    <w:rsid w:val="00AF7644"/>
    <w:rsid w:val="00AF76E4"/>
    <w:rsid w:val="00B00A0C"/>
    <w:rsid w:val="00B024E8"/>
    <w:rsid w:val="00B02D47"/>
    <w:rsid w:val="00B053E7"/>
    <w:rsid w:val="00B07D7B"/>
    <w:rsid w:val="00B10240"/>
    <w:rsid w:val="00B10AFD"/>
    <w:rsid w:val="00B11878"/>
    <w:rsid w:val="00B126A7"/>
    <w:rsid w:val="00B13C9F"/>
    <w:rsid w:val="00B13CBC"/>
    <w:rsid w:val="00B17B91"/>
    <w:rsid w:val="00B23203"/>
    <w:rsid w:val="00B237E7"/>
    <w:rsid w:val="00B23A08"/>
    <w:rsid w:val="00B2428B"/>
    <w:rsid w:val="00B250A9"/>
    <w:rsid w:val="00B3091A"/>
    <w:rsid w:val="00B35547"/>
    <w:rsid w:val="00B3711B"/>
    <w:rsid w:val="00B37577"/>
    <w:rsid w:val="00B42417"/>
    <w:rsid w:val="00B43BE6"/>
    <w:rsid w:val="00B44C60"/>
    <w:rsid w:val="00B47A5A"/>
    <w:rsid w:val="00B5079E"/>
    <w:rsid w:val="00B53D75"/>
    <w:rsid w:val="00B55E56"/>
    <w:rsid w:val="00B55ED7"/>
    <w:rsid w:val="00B56E27"/>
    <w:rsid w:val="00B57ACF"/>
    <w:rsid w:val="00B57B92"/>
    <w:rsid w:val="00B6071C"/>
    <w:rsid w:val="00B607BD"/>
    <w:rsid w:val="00B60EDB"/>
    <w:rsid w:val="00B63971"/>
    <w:rsid w:val="00B63F86"/>
    <w:rsid w:val="00B65760"/>
    <w:rsid w:val="00B709B1"/>
    <w:rsid w:val="00B72A53"/>
    <w:rsid w:val="00B752FB"/>
    <w:rsid w:val="00B802CD"/>
    <w:rsid w:val="00B802D9"/>
    <w:rsid w:val="00B86278"/>
    <w:rsid w:val="00B8751B"/>
    <w:rsid w:val="00B91B9F"/>
    <w:rsid w:val="00B91E58"/>
    <w:rsid w:val="00B927FD"/>
    <w:rsid w:val="00B92BFF"/>
    <w:rsid w:val="00B966C5"/>
    <w:rsid w:val="00B9715D"/>
    <w:rsid w:val="00BA1881"/>
    <w:rsid w:val="00BA3988"/>
    <w:rsid w:val="00BA3A70"/>
    <w:rsid w:val="00BA415D"/>
    <w:rsid w:val="00BA7A4B"/>
    <w:rsid w:val="00BB11C0"/>
    <w:rsid w:val="00BB161D"/>
    <w:rsid w:val="00BB20C3"/>
    <w:rsid w:val="00BB2E87"/>
    <w:rsid w:val="00BB3D0F"/>
    <w:rsid w:val="00BB459C"/>
    <w:rsid w:val="00BB5D22"/>
    <w:rsid w:val="00BB6080"/>
    <w:rsid w:val="00BB6C67"/>
    <w:rsid w:val="00BB7E78"/>
    <w:rsid w:val="00BC0CA7"/>
    <w:rsid w:val="00BC19B9"/>
    <w:rsid w:val="00BC19D9"/>
    <w:rsid w:val="00BC1A9C"/>
    <w:rsid w:val="00BC2928"/>
    <w:rsid w:val="00BC29B9"/>
    <w:rsid w:val="00BC2CE3"/>
    <w:rsid w:val="00BC3A3A"/>
    <w:rsid w:val="00BC4069"/>
    <w:rsid w:val="00BC4093"/>
    <w:rsid w:val="00BC51A0"/>
    <w:rsid w:val="00BC753D"/>
    <w:rsid w:val="00BD02E3"/>
    <w:rsid w:val="00BD1BA5"/>
    <w:rsid w:val="00BD219A"/>
    <w:rsid w:val="00BD3686"/>
    <w:rsid w:val="00BD37B6"/>
    <w:rsid w:val="00BE059D"/>
    <w:rsid w:val="00BE21F2"/>
    <w:rsid w:val="00BE284D"/>
    <w:rsid w:val="00BE2C3E"/>
    <w:rsid w:val="00BE3932"/>
    <w:rsid w:val="00BE4B2F"/>
    <w:rsid w:val="00BE7CA5"/>
    <w:rsid w:val="00BF02D0"/>
    <w:rsid w:val="00BF1450"/>
    <w:rsid w:val="00BF59AB"/>
    <w:rsid w:val="00BF5A3F"/>
    <w:rsid w:val="00C0090E"/>
    <w:rsid w:val="00C012CB"/>
    <w:rsid w:val="00C01832"/>
    <w:rsid w:val="00C03756"/>
    <w:rsid w:val="00C0454F"/>
    <w:rsid w:val="00C04F32"/>
    <w:rsid w:val="00C0580D"/>
    <w:rsid w:val="00C07FE9"/>
    <w:rsid w:val="00C10FFD"/>
    <w:rsid w:val="00C11AB3"/>
    <w:rsid w:val="00C12115"/>
    <w:rsid w:val="00C1261E"/>
    <w:rsid w:val="00C1318C"/>
    <w:rsid w:val="00C14A2E"/>
    <w:rsid w:val="00C153F7"/>
    <w:rsid w:val="00C219EA"/>
    <w:rsid w:val="00C223AB"/>
    <w:rsid w:val="00C24846"/>
    <w:rsid w:val="00C25DC7"/>
    <w:rsid w:val="00C31347"/>
    <w:rsid w:val="00C31F3D"/>
    <w:rsid w:val="00C31F8C"/>
    <w:rsid w:val="00C341B2"/>
    <w:rsid w:val="00C35D96"/>
    <w:rsid w:val="00C378EB"/>
    <w:rsid w:val="00C40339"/>
    <w:rsid w:val="00C40403"/>
    <w:rsid w:val="00C404EC"/>
    <w:rsid w:val="00C40812"/>
    <w:rsid w:val="00C41765"/>
    <w:rsid w:val="00C419F6"/>
    <w:rsid w:val="00C42DFC"/>
    <w:rsid w:val="00C43C22"/>
    <w:rsid w:val="00C446C3"/>
    <w:rsid w:val="00C44796"/>
    <w:rsid w:val="00C451CD"/>
    <w:rsid w:val="00C46028"/>
    <w:rsid w:val="00C46853"/>
    <w:rsid w:val="00C47817"/>
    <w:rsid w:val="00C519C7"/>
    <w:rsid w:val="00C51CC1"/>
    <w:rsid w:val="00C5215A"/>
    <w:rsid w:val="00C563A7"/>
    <w:rsid w:val="00C60BFD"/>
    <w:rsid w:val="00C60C6B"/>
    <w:rsid w:val="00C610D7"/>
    <w:rsid w:val="00C6210D"/>
    <w:rsid w:val="00C6278E"/>
    <w:rsid w:val="00C62B17"/>
    <w:rsid w:val="00C63ACE"/>
    <w:rsid w:val="00C650B1"/>
    <w:rsid w:val="00C652EB"/>
    <w:rsid w:val="00C666BD"/>
    <w:rsid w:val="00C66C49"/>
    <w:rsid w:val="00C679B4"/>
    <w:rsid w:val="00C67A69"/>
    <w:rsid w:val="00C7016A"/>
    <w:rsid w:val="00C7095C"/>
    <w:rsid w:val="00C70967"/>
    <w:rsid w:val="00C70B04"/>
    <w:rsid w:val="00C70DC9"/>
    <w:rsid w:val="00C7271F"/>
    <w:rsid w:val="00C72B3E"/>
    <w:rsid w:val="00C734A1"/>
    <w:rsid w:val="00C737D3"/>
    <w:rsid w:val="00C760DB"/>
    <w:rsid w:val="00C804CB"/>
    <w:rsid w:val="00C814A0"/>
    <w:rsid w:val="00C822A9"/>
    <w:rsid w:val="00C825A2"/>
    <w:rsid w:val="00C825C7"/>
    <w:rsid w:val="00C9283E"/>
    <w:rsid w:val="00C932E7"/>
    <w:rsid w:val="00C93370"/>
    <w:rsid w:val="00C93D30"/>
    <w:rsid w:val="00C9472C"/>
    <w:rsid w:val="00C95CBB"/>
    <w:rsid w:val="00C96DE3"/>
    <w:rsid w:val="00CA0992"/>
    <w:rsid w:val="00CA1EC3"/>
    <w:rsid w:val="00CB021A"/>
    <w:rsid w:val="00CB0BC5"/>
    <w:rsid w:val="00CB1361"/>
    <w:rsid w:val="00CB1A4D"/>
    <w:rsid w:val="00CB4775"/>
    <w:rsid w:val="00CB550A"/>
    <w:rsid w:val="00CB5CF1"/>
    <w:rsid w:val="00CB7BBE"/>
    <w:rsid w:val="00CC3203"/>
    <w:rsid w:val="00CC36AD"/>
    <w:rsid w:val="00CC5D3C"/>
    <w:rsid w:val="00CC6536"/>
    <w:rsid w:val="00CC69FF"/>
    <w:rsid w:val="00CC7039"/>
    <w:rsid w:val="00CC7915"/>
    <w:rsid w:val="00CD282C"/>
    <w:rsid w:val="00CD2C9C"/>
    <w:rsid w:val="00CD560B"/>
    <w:rsid w:val="00CD56B4"/>
    <w:rsid w:val="00CE0070"/>
    <w:rsid w:val="00CE0CB6"/>
    <w:rsid w:val="00CE1B72"/>
    <w:rsid w:val="00CE2654"/>
    <w:rsid w:val="00CE379F"/>
    <w:rsid w:val="00CE473D"/>
    <w:rsid w:val="00CE4BB3"/>
    <w:rsid w:val="00CE618E"/>
    <w:rsid w:val="00CE78B9"/>
    <w:rsid w:val="00CF1903"/>
    <w:rsid w:val="00CF1B3E"/>
    <w:rsid w:val="00CF223C"/>
    <w:rsid w:val="00CF2E2F"/>
    <w:rsid w:val="00CF3FBC"/>
    <w:rsid w:val="00D00D45"/>
    <w:rsid w:val="00D0200D"/>
    <w:rsid w:val="00D02217"/>
    <w:rsid w:val="00D03E45"/>
    <w:rsid w:val="00D07455"/>
    <w:rsid w:val="00D11A64"/>
    <w:rsid w:val="00D120FD"/>
    <w:rsid w:val="00D13DB3"/>
    <w:rsid w:val="00D14C4C"/>
    <w:rsid w:val="00D20625"/>
    <w:rsid w:val="00D22076"/>
    <w:rsid w:val="00D23755"/>
    <w:rsid w:val="00D25B58"/>
    <w:rsid w:val="00D2734A"/>
    <w:rsid w:val="00D2775B"/>
    <w:rsid w:val="00D31FDE"/>
    <w:rsid w:val="00D32605"/>
    <w:rsid w:val="00D35766"/>
    <w:rsid w:val="00D35D88"/>
    <w:rsid w:val="00D36E77"/>
    <w:rsid w:val="00D400A9"/>
    <w:rsid w:val="00D423FB"/>
    <w:rsid w:val="00D42D1E"/>
    <w:rsid w:val="00D441BF"/>
    <w:rsid w:val="00D447A2"/>
    <w:rsid w:val="00D44F68"/>
    <w:rsid w:val="00D45269"/>
    <w:rsid w:val="00D45DBE"/>
    <w:rsid w:val="00D467A4"/>
    <w:rsid w:val="00D46B80"/>
    <w:rsid w:val="00D50E7F"/>
    <w:rsid w:val="00D5170B"/>
    <w:rsid w:val="00D518F9"/>
    <w:rsid w:val="00D51B22"/>
    <w:rsid w:val="00D52B14"/>
    <w:rsid w:val="00D5355C"/>
    <w:rsid w:val="00D6392B"/>
    <w:rsid w:val="00D63E5C"/>
    <w:rsid w:val="00D70DAD"/>
    <w:rsid w:val="00D70EB7"/>
    <w:rsid w:val="00D71D7E"/>
    <w:rsid w:val="00D71E6D"/>
    <w:rsid w:val="00D73139"/>
    <w:rsid w:val="00D7565E"/>
    <w:rsid w:val="00D77307"/>
    <w:rsid w:val="00D80057"/>
    <w:rsid w:val="00D820C1"/>
    <w:rsid w:val="00D846D4"/>
    <w:rsid w:val="00D85E70"/>
    <w:rsid w:val="00D8771B"/>
    <w:rsid w:val="00D907C1"/>
    <w:rsid w:val="00D92E2B"/>
    <w:rsid w:val="00D94639"/>
    <w:rsid w:val="00D95FD0"/>
    <w:rsid w:val="00D96967"/>
    <w:rsid w:val="00DA118D"/>
    <w:rsid w:val="00DA1BB5"/>
    <w:rsid w:val="00DA20F3"/>
    <w:rsid w:val="00DA3416"/>
    <w:rsid w:val="00DA37AF"/>
    <w:rsid w:val="00DA4766"/>
    <w:rsid w:val="00DA4A08"/>
    <w:rsid w:val="00DA5535"/>
    <w:rsid w:val="00DA7791"/>
    <w:rsid w:val="00DB024C"/>
    <w:rsid w:val="00DB09EE"/>
    <w:rsid w:val="00DB127D"/>
    <w:rsid w:val="00DB13F5"/>
    <w:rsid w:val="00DB3E06"/>
    <w:rsid w:val="00DB5A74"/>
    <w:rsid w:val="00DB5D70"/>
    <w:rsid w:val="00DB78E9"/>
    <w:rsid w:val="00DB7DB0"/>
    <w:rsid w:val="00DC01A9"/>
    <w:rsid w:val="00DC3991"/>
    <w:rsid w:val="00DC68CA"/>
    <w:rsid w:val="00DC7294"/>
    <w:rsid w:val="00DC7847"/>
    <w:rsid w:val="00DC7ACF"/>
    <w:rsid w:val="00DD00F4"/>
    <w:rsid w:val="00DD04B4"/>
    <w:rsid w:val="00DD32CA"/>
    <w:rsid w:val="00DD50E9"/>
    <w:rsid w:val="00DD7365"/>
    <w:rsid w:val="00DE36D1"/>
    <w:rsid w:val="00DE4731"/>
    <w:rsid w:val="00DE61AC"/>
    <w:rsid w:val="00DE704D"/>
    <w:rsid w:val="00DE72FA"/>
    <w:rsid w:val="00DE772B"/>
    <w:rsid w:val="00DF1315"/>
    <w:rsid w:val="00DF2659"/>
    <w:rsid w:val="00DF431E"/>
    <w:rsid w:val="00DF732B"/>
    <w:rsid w:val="00DF786E"/>
    <w:rsid w:val="00DF7C38"/>
    <w:rsid w:val="00E03E03"/>
    <w:rsid w:val="00E0502F"/>
    <w:rsid w:val="00E0693A"/>
    <w:rsid w:val="00E07206"/>
    <w:rsid w:val="00E07EEE"/>
    <w:rsid w:val="00E123FE"/>
    <w:rsid w:val="00E12417"/>
    <w:rsid w:val="00E13AD5"/>
    <w:rsid w:val="00E14C93"/>
    <w:rsid w:val="00E15F88"/>
    <w:rsid w:val="00E22B8D"/>
    <w:rsid w:val="00E25244"/>
    <w:rsid w:val="00E25D16"/>
    <w:rsid w:val="00E34291"/>
    <w:rsid w:val="00E369D2"/>
    <w:rsid w:val="00E379EE"/>
    <w:rsid w:val="00E40DCE"/>
    <w:rsid w:val="00E4144B"/>
    <w:rsid w:val="00E41A79"/>
    <w:rsid w:val="00E453A9"/>
    <w:rsid w:val="00E46540"/>
    <w:rsid w:val="00E47304"/>
    <w:rsid w:val="00E47B11"/>
    <w:rsid w:val="00E506DF"/>
    <w:rsid w:val="00E50B25"/>
    <w:rsid w:val="00E51A17"/>
    <w:rsid w:val="00E523DC"/>
    <w:rsid w:val="00E523EF"/>
    <w:rsid w:val="00E56050"/>
    <w:rsid w:val="00E56527"/>
    <w:rsid w:val="00E60123"/>
    <w:rsid w:val="00E60EC0"/>
    <w:rsid w:val="00E6107E"/>
    <w:rsid w:val="00E61DD7"/>
    <w:rsid w:val="00E6251F"/>
    <w:rsid w:val="00E6333E"/>
    <w:rsid w:val="00E67B06"/>
    <w:rsid w:val="00E70AB4"/>
    <w:rsid w:val="00E71321"/>
    <w:rsid w:val="00E73E07"/>
    <w:rsid w:val="00E807F6"/>
    <w:rsid w:val="00E82692"/>
    <w:rsid w:val="00E82EA5"/>
    <w:rsid w:val="00E83A06"/>
    <w:rsid w:val="00E84221"/>
    <w:rsid w:val="00E8504A"/>
    <w:rsid w:val="00E87149"/>
    <w:rsid w:val="00E90976"/>
    <w:rsid w:val="00E90C1B"/>
    <w:rsid w:val="00E94306"/>
    <w:rsid w:val="00E959B4"/>
    <w:rsid w:val="00E95EF5"/>
    <w:rsid w:val="00E97B51"/>
    <w:rsid w:val="00EA1847"/>
    <w:rsid w:val="00EA1E6B"/>
    <w:rsid w:val="00EA2997"/>
    <w:rsid w:val="00EA42D9"/>
    <w:rsid w:val="00EA4DE3"/>
    <w:rsid w:val="00EA5A27"/>
    <w:rsid w:val="00EA5FF9"/>
    <w:rsid w:val="00EA7C78"/>
    <w:rsid w:val="00EB01A8"/>
    <w:rsid w:val="00EB1483"/>
    <w:rsid w:val="00EB14AA"/>
    <w:rsid w:val="00EB2B3B"/>
    <w:rsid w:val="00EB3747"/>
    <w:rsid w:val="00EB5BEC"/>
    <w:rsid w:val="00EB5F42"/>
    <w:rsid w:val="00EB691A"/>
    <w:rsid w:val="00EB6DF7"/>
    <w:rsid w:val="00EC30A0"/>
    <w:rsid w:val="00EC3B68"/>
    <w:rsid w:val="00EC47E4"/>
    <w:rsid w:val="00EC5556"/>
    <w:rsid w:val="00ED0ED5"/>
    <w:rsid w:val="00ED2B54"/>
    <w:rsid w:val="00ED3F72"/>
    <w:rsid w:val="00ED4277"/>
    <w:rsid w:val="00ED674B"/>
    <w:rsid w:val="00EE0686"/>
    <w:rsid w:val="00EE30F0"/>
    <w:rsid w:val="00EE489C"/>
    <w:rsid w:val="00EE5EB8"/>
    <w:rsid w:val="00EE685B"/>
    <w:rsid w:val="00EE7378"/>
    <w:rsid w:val="00EF29A9"/>
    <w:rsid w:val="00EF2EF0"/>
    <w:rsid w:val="00EF3A62"/>
    <w:rsid w:val="00EF7CF3"/>
    <w:rsid w:val="00F01C1B"/>
    <w:rsid w:val="00F03FAB"/>
    <w:rsid w:val="00F0444E"/>
    <w:rsid w:val="00F06381"/>
    <w:rsid w:val="00F06468"/>
    <w:rsid w:val="00F07C21"/>
    <w:rsid w:val="00F100F1"/>
    <w:rsid w:val="00F111B0"/>
    <w:rsid w:val="00F12428"/>
    <w:rsid w:val="00F12690"/>
    <w:rsid w:val="00F13885"/>
    <w:rsid w:val="00F13E19"/>
    <w:rsid w:val="00F21B55"/>
    <w:rsid w:val="00F22DCA"/>
    <w:rsid w:val="00F24E1D"/>
    <w:rsid w:val="00F259F1"/>
    <w:rsid w:val="00F25C64"/>
    <w:rsid w:val="00F300F7"/>
    <w:rsid w:val="00F303DB"/>
    <w:rsid w:val="00F34365"/>
    <w:rsid w:val="00F34B1C"/>
    <w:rsid w:val="00F371D2"/>
    <w:rsid w:val="00F43855"/>
    <w:rsid w:val="00F438EA"/>
    <w:rsid w:val="00F44B39"/>
    <w:rsid w:val="00F45754"/>
    <w:rsid w:val="00F51ACA"/>
    <w:rsid w:val="00F52F6E"/>
    <w:rsid w:val="00F53822"/>
    <w:rsid w:val="00F53865"/>
    <w:rsid w:val="00F5435B"/>
    <w:rsid w:val="00F54E89"/>
    <w:rsid w:val="00F55264"/>
    <w:rsid w:val="00F56A74"/>
    <w:rsid w:val="00F572BF"/>
    <w:rsid w:val="00F607B9"/>
    <w:rsid w:val="00F6224A"/>
    <w:rsid w:val="00F6330D"/>
    <w:rsid w:val="00F63BEF"/>
    <w:rsid w:val="00F64251"/>
    <w:rsid w:val="00F657FA"/>
    <w:rsid w:val="00F65F7A"/>
    <w:rsid w:val="00F67AEF"/>
    <w:rsid w:val="00F812B2"/>
    <w:rsid w:val="00F82340"/>
    <w:rsid w:val="00F82749"/>
    <w:rsid w:val="00F83EBB"/>
    <w:rsid w:val="00F92BA4"/>
    <w:rsid w:val="00F94417"/>
    <w:rsid w:val="00F96C5D"/>
    <w:rsid w:val="00F9720D"/>
    <w:rsid w:val="00FA09BE"/>
    <w:rsid w:val="00FA0B6D"/>
    <w:rsid w:val="00FA28E3"/>
    <w:rsid w:val="00FA2EB3"/>
    <w:rsid w:val="00FA3427"/>
    <w:rsid w:val="00FA3713"/>
    <w:rsid w:val="00FA4C74"/>
    <w:rsid w:val="00FA68F9"/>
    <w:rsid w:val="00FA78EB"/>
    <w:rsid w:val="00FB3BEC"/>
    <w:rsid w:val="00FB4C56"/>
    <w:rsid w:val="00FB5EE4"/>
    <w:rsid w:val="00FB7933"/>
    <w:rsid w:val="00FC2E91"/>
    <w:rsid w:val="00FC4136"/>
    <w:rsid w:val="00FC51B7"/>
    <w:rsid w:val="00FD063A"/>
    <w:rsid w:val="00FD063D"/>
    <w:rsid w:val="00FD34FD"/>
    <w:rsid w:val="00FE0910"/>
    <w:rsid w:val="00FE0DF3"/>
    <w:rsid w:val="00FE12E9"/>
    <w:rsid w:val="00FE16B7"/>
    <w:rsid w:val="00FE493C"/>
    <w:rsid w:val="00FE584E"/>
    <w:rsid w:val="00FE6BF7"/>
    <w:rsid w:val="00FE734D"/>
    <w:rsid w:val="00FF0A29"/>
    <w:rsid w:val="00FF0B14"/>
    <w:rsid w:val="00FF2364"/>
    <w:rsid w:val="00FF27BD"/>
    <w:rsid w:val="00FF7138"/>
    <w:rsid w:val="118DD4A0"/>
    <w:rsid w:val="28CDCB61"/>
    <w:rsid w:val="5A715453"/>
    <w:rsid w:val="63FA52FC"/>
    <w:rsid w:val="7D4C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7954"/>
  <w15:chartTrackingRefBased/>
  <w15:docId w15:val="{130E13EC-F8D3-4979-AAA5-3E7258E3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3D7FBA"/>
    <w:pPr>
      <w:spacing w:after="240" w:line="240" w:lineRule="atLeast"/>
    </w:pPr>
    <w:rPr>
      <w:rFonts w:ascii="Arial" w:hAnsi="Arial"/>
      <w:sz w:val="24"/>
      <w:lang w:val="en-GB"/>
    </w:rPr>
  </w:style>
  <w:style w:type="paragraph" w:styleId="Heading1">
    <w:name w:val="heading 1"/>
    <w:basedOn w:val="Title"/>
    <w:next w:val="Normal"/>
    <w:link w:val="Heading1Char"/>
    <w:uiPriority w:val="2"/>
    <w:qFormat/>
    <w:rsid w:val="000426B0"/>
    <w:pPr>
      <w:spacing w:after="300"/>
      <w:outlineLvl w:val="0"/>
    </w:pPr>
    <w:rPr>
      <w:rFonts w:asciiTheme="majorHAnsi" w:hAnsiTheme="majorHAnsi"/>
      <w:b/>
      <w:color w:val="1C1F63" w:themeColor="accent3"/>
      <w:spacing w:val="0"/>
      <w:sz w:val="48"/>
      <w:szCs w:val="52"/>
    </w:rPr>
  </w:style>
  <w:style w:type="paragraph" w:styleId="Heading2">
    <w:name w:val="heading 2"/>
    <w:basedOn w:val="Normal"/>
    <w:next w:val="Normal"/>
    <w:link w:val="Heading2Char"/>
    <w:uiPriority w:val="2"/>
    <w:qFormat/>
    <w:rsid w:val="006616E9"/>
    <w:pPr>
      <w:spacing w:after="120" w:line="320" w:lineRule="atLeast"/>
      <w:outlineLvl w:val="1"/>
    </w:pPr>
    <w:rPr>
      <w:rFonts w:asciiTheme="majorHAnsi" w:eastAsia="Times New Roman" w:hAnsiTheme="majorHAnsi" w:cstheme="majorHAnsi"/>
      <w:b/>
      <w:bCs/>
      <w:color w:val="1C1F63" w:themeColor="text1"/>
      <w:sz w:val="36"/>
      <w:szCs w:val="36"/>
    </w:rPr>
  </w:style>
  <w:style w:type="paragraph" w:styleId="Heading3">
    <w:name w:val="heading 3"/>
    <w:aliases w:val="Headings (numbered)"/>
    <w:basedOn w:val="Normal"/>
    <w:next w:val="Normal"/>
    <w:link w:val="Heading3Char"/>
    <w:uiPriority w:val="2"/>
    <w:qFormat/>
    <w:rsid w:val="000426B0"/>
    <w:pPr>
      <w:numPr>
        <w:numId w:val="3"/>
      </w:numPr>
      <w:spacing w:before="280" w:after="0" w:line="276" w:lineRule="auto"/>
      <w:ind w:left="360"/>
      <w:outlineLvl w:val="2"/>
    </w:pPr>
    <w:rPr>
      <w:rFonts w:asciiTheme="majorHAnsi" w:eastAsia="Times New Roman" w:hAnsiTheme="majorHAnsi"/>
      <w:b/>
      <w:color w:val="1C1F63"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3"/>
    <w:qFormat/>
    <w:rsid w:val="0000527F"/>
    <w:rPr>
      <w:rFonts w:ascii="Arial" w:hAnsi="Arial"/>
      <w:b/>
      <w:i w:val="0"/>
      <w:iCs/>
      <w:sz w:val="24"/>
    </w:rPr>
  </w:style>
  <w:style w:type="paragraph" w:styleId="Title">
    <w:name w:val="Title"/>
    <w:basedOn w:val="Normal"/>
    <w:next w:val="Normal"/>
    <w:link w:val="TitleChar"/>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rsid w:val="000426B0"/>
    <w:rPr>
      <w:rFonts w:ascii="Arial Black" w:eastAsiaTheme="majorEastAsia" w:hAnsi="Arial Black" w:cstheme="majorBidi"/>
      <w:color w:val="1C1F63"/>
      <w:spacing w:val="-10"/>
      <w:kern w:val="28"/>
      <w:sz w:val="56"/>
      <w:szCs w:val="56"/>
      <w:lang w:val="en-GB"/>
    </w:rPr>
  </w:style>
  <w:style w:type="paragraph" w:styleId="Subtitle">
    <w:name w:val="Subtitle"/>
    <w:basedOn w:val="Normal"/>
    <w:next w:val="Normal"/>
    <w:link w:val="SubtitleChar"/>
    <w:uiPriority w:val="1"/>
    <w:qFormat/>
    <w:rsid w:val="00233A81"/>
    <w:pPr>
      <w:numPr>
        <w:ilvl w:val="1"/>
      </w:numPr>
    </w:pPr>
    <w:rPr>
      <w:rFonts w:ascii="Arial Black" w:eastAsiaTheme="minorEastAsia" w:hAnsi="Arial Black"/>
      <w:color w:val="1C1F63"/>
    </w:rPr>
  </w:style>
  <w:style w:type="character" w:customStyle="1" w:styleId="SubtitleChar">
    <w:name w:val="Subtitle Char"/>
    <w:basedOn w:val="DefaultParagraphFont"/>
    <w:link w:val="Subtitle"/>
    <w:uiPriority w:val="1"/>
    <w:rsid w:val="00233A81"/>
    <w:rPr>
      <w:rFonts w:ascii="Arial Black" w:eastAsiaTheme="minorEastAsia" w:hAnsi="Arial Black"/>
      <w:color w:val="1C1F63"/>
      <w:sz w:val="24"/>
      <w:lang w:val="en-GB"/>
    </w:rPr>
  </w:style>
  <w:style w:type="paragraph" w:styleId="ListParagraph">
    <w:name w:val="List Paragraph"/>
    <w:aliases w:val="Number List"/>
    <w:basedOn w:val="Normal"/>
    <w:link w:val="ListParagraphChar"/>
    <w:uiPriority w:val="34"/>
    <w:qFormat/>
    <w:rsid w:val="00413606"/>
    <w:pPr>
      <w:ind w:left="720"/>
      <w:contextualSpacing/>
    </w:pPr>
  </w:style>
  <w:style w:type="paragraph" w:customStyle="1" w:styleId="Bullets">
    <w:name w:val="Bullets"/>
    <w:basedOn w:val="ListParagraph"/>
    <w:uiPriority w:val="3"/>
    <w:qFormat/>
    <w:rsid w:val="00F371D2"/>
    <w:pPr>
      <w:numPr>
        <w:numId w:val="2"/>
      </w:numPr>
      <w:ind w:left="1077" w:hanging="357"/>
    </w:pPr>
  </w:style>
  <w:style w:type="table" w:styleId="TableGrid">
    <w:name w:val="Table Grid"/>
    <w:basedOn w:val="TableNormal"/>
    <w:uiPriority w:val="39"/>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90BCFB" w:themeColor="accent2" w:themeTint="66"/>
        <w:left w:val="single" w:sz="4" w:space="0" w:color="90BCFB" w:themeColor="accent2" w:themeTint="66"/>
        <w:bottom w:val="single" w:sz="4" w:space="0" w:color="90BCFB" w:themeColor="accent2" w:themeTint="66"/>
        <w:right w:val="single" w:sz="4" w:space="0" w:color="90BCFB" w:themeColor="accent2" w:themeTint="66"/>
        <w:insideH w:val="single" w:sz="4" w:space="0" w:color="90BCFB" w:themeColor="accent2" w:themeTint="66"/>
        <w:insideV w:val="single" w:sz="4" w:space="0" w:color="90BCFB" w:themeColor="accent2" w:themeTint="66"/>
      </w:tblBorders>
    </w:tblPr>
    <w:tblStylePr w:type="firstRow">
      <w:rPr>
        <w:b/>
        <w:bCs/>
      </w:rPr>
      <w:tblPr/>
      <w:tcPr>
        <w:tcBorders>
          <w:bottom w:val="single" w:sz="12" w:space="0" w:color="599AF9" w:themeColor="accent2" w:themeTint="99"/>
        </w:tcBorders>
      </w:tcPr>
    </w:tblStylePr>
    <w:tblStylePr w:type="lastRow">
      <w:rPr>
        <w:b/>
        <w:bCs/>
      </w:rPr>
      <w:tblPr/>
      <w:tcPr>
        <w:tcBorders>
          <w:top w:val="double" w:sz="2" w:space="0" w:color="599AF9"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075EDB" w:themeColor="accent2"/>
        <w:left w:val="single" w:sz="4" w:space="0" w:color="075EDB" w:themeColor="accent2"/>
        <w:bottom w:val="single" w:sz="4" w:space="0" w:color="075EDB" w:themeColor="accent2"/>
        <w:right w:val="single" w:sz="4" w:space="0" w:color="075EDB" w:themeColor="accent2"/>
      </w:tblBorders>
    </w:tblPr>
    <w:tblStylePr w:type="firstRow">
      <w:rPr>
        <w:b/>
        <w:bCs/>
        <w:color w:val="FFFFFF" w:themeColor="background1"/>
      </w:rPr>
      <w:tblPr/>
      <w:tcPr>
        <w:shd w:val="clear" w:color="auto" w:fill="075EDB" w:themeFill="accent2"/>
      </w:tcPr>
    </w:tblStylePr>
    <w:tblStylePr w:type="lastRow">
      <w:rPr>
        <w:b/>
        <w:bCs/>
      </w:rPr>
      <w:tblPr/>
      <w:tcPr>
        <w:tcBorders>
          <w:top w:val="double" w:sz="4" w:space="0" w:color="075E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2"/>
          <w:right w:val="single" w:sz="4" w:space="0" w:color="075EDB" w:themeColor="accent2"/>
        </w:tcBorders>
      </w:tcPr>
    </w:tblStylePr>
    <w:tblStylePr w:type="band1Horz">
      <w:tblPr/>
      <w:tcPr>
        <w:tcBorders>
          <w:top w:val="single" w:sz="4" w:space="0" w:color="075EDB" w:themeColor="accent2"/>
          <w:bottom w:val="single" w:sz="4" w:space="0" w:color="075E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2"/>
          <w:left w:val="nil"/>
        </w:tcBorders>
      </w:tcPr>
    </w:tblStylePr>
    <w:tblStylePr w:type="swCell">
      <w:tblPr/>
      <w:tcPr>
        <w:tcBorders>
          <w:top w:val="double" w:sz="4" w:space="0" w:color="075EDB"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1C1F63" w:themeColor="accent3"/>
        <w:left w:val="single" w:sz="4" w:space="0" w:color="1C1F63" w:themeColor="accent3"/>
        <w:bottom w:val="single" w:sz="4" w:space="0" w:color="1C1F63" w:themeColor="accent3"/>
        <w:right w:val="single" w:sz="4" w:space="0" w:color="1C1F63" w:themeColor="accent3"/>
      </w:tblBorders>
    </w:tblPr>
    <w:tblStylePr w:type="firstRow">
      <w:rPr>
        <w:b/>
        <w:bCs/>
        <w:color w:val="FFFFFF" w:themeColor="background1"/>
      </w:rPr>
      <w:tblPr/>
      <w:tcPr>
        <w:shd w:val="clear" w:color="auto" w:fill="1C1F63" w:themeFill="accent3"/>
      </w:tcPr>
    </w:tblStylePr>
    <w:tblStylePr w:type="lastRow">
      <w:rPr>
        <w:b/>
        <w:bCs/>
      </w:rPr>
      <w:tblPr/>
      <w:tcPr>
        <w:tcBorders>
          <w:top w:val="double" w:sz="4" w:space="0" w:color="1C1F6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3"/>
          <w:right w:val="single" w:sz="4" w:space="0" w:color="1C1F63" w:themeColor="accent3"/>
        </w:tcBorders>
      </w:tcPr>
    </w:tblStylePr>
    <w:tblStylePr w:type="band1Horz">
      <w:tblPr/>
      <w:tcPr>
        <w:tcBorders>
          <w:top w:val="single" w:sz="4" w:space="0" w:color="1C1F63" w:themeColor="accent3"/>
          <w:bottom w:val="single" w:sz="4" w:space="0" w:color="1C1F6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3"/>
          <w:left w:val="nil"/>
        </w:tcBorders>
      </w:tcPr>
    </w:tblStylePr>
    <w:tblStylePr w:type="swCell">
      <w:tblPr/>
      <w:tcPr>
        <w:tcBorders>
          <w:top w:val="double" w:sz="4" w:space="0" w:color="1C1F63"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075EDB" w:themeColor="accent4"/>
        <w:left w:val="single" w:sz="4" w:space="0" w:color="075EDB" w:themeColor="accent4"/>
        <w:bottom w:val="single" w:sz="4" w:space="0" w:color="075EDB" w:themeColor="accent4"/>
        <w:right w:val="single" w:sz="4" w:space="0" w:color="075EDB" w:themeColor="accent4"/>
      </w:tblBorders>
    </w:tblPr>
    <w:tblStylePr w:type="firstRow">
      <w:rPr>
        <w:b/>
        <w:bCs/>
        <w:color w:val="FFFFFF" w:themeColor="background1"/>
      </w:rPr>
      <w:tblPr/>
      <w:tcPr>
        <w:shd w:val="clear" w:color="auto" w:fill="075EDB" w:themeFill="accent4"/>
      </w:tcPr>
    </w:tblStylePr>
    <w:tblStylePr w:type="lastRow">
      <w:rPr>
        <w:b/>
        <w:bCs/>
      </w:rPr>
      <w:tblPr/>
      <w:tcPr>
        <w:tcBorders>
          <w:top w:val="double" w:sz="4" w:space="0" w:color="075ED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4"/>
          <w:right w:val="single" w:sz="4" w:space="0" w:color="075EDB" w:themeColor="accent4"/>
        </w:tcBorders>
      </w:tcPr>
    </w:tblStylePr>
    <w:tblStylePr w:type="band1Horz">
      <w:tblPr/>
      <w:tcPr>
        <w:tcBorders>
          <w:top w:val="single" w:sz="4" w:space="0" w:color="075EDB" w:themeColor="accent4"/>
          <w:bottom w:val="single" w:sz="4" w:space="0" w:color="075ED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4"/>
          <w:left w:val="nil"/>
        </w:tcBorders>
      </w:tcPr>
    </w:tblStylePr>
    <w:tblStylePr w:type="swCell">
      <w:tblPr/>
      <w:tcPr>
        <w:tcBorders>
          <w:top w:val="double" w:sz="4" w:space="0" w:color="075EDB"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semiHidden/>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character" w:customStyle="1" w:styleId="Heading1Char">
    <w:name w:val="Heading 1 Char"/>
    <w:basedOn w:val="DefaultParagraphFont"/>
    <w:link w:val="Heading1"/>
    <w:uiPriority w:val="2"/>
    <w:rsid w:val="000426B0"/>
    <w:rPr>
      <w:rFonts w:asciiTheme="majorHAnsi" w:eastAsiaTheme="majorEastAsia" w:hAnsiTheme="majorHAnsi" w:cstheme="majorBidi"/>
      <w:b/>
      <w:color w:val="1C1F63" w:themeColor="accent3"/>
      <w:kern w:val="28"/>
      <w:sz w:val="48"/>
      <w:szCs w:val="52"/>
      <w:lang w:val="en-GB"/>
    </w:rPr>
  </w:style>
  <w:style w:type="character" w:customStyle="1" w:styleId="Heading2Char">
    <w:name w:val="Heading 2 Char"/>
    <w:basedOn w:val="DefaultParagraphFont"/>
    <w:link w:val="Heading2"/>
    <w:uiPriority w:val="2"/>
    <w:rsid w:val="006616E9"/>
    <w:rPr>
      <w:rFonts w:asciiTheme="majorHAnsi" w:eastAsia="Times New Roman" w:hAnsiTheme="majorHAnsi" w:cstheme="majorHAnsi"/>
      <w:b/>
      <w:bCs/>
      <w:color w:val="1C1F63" w:themeColor="text1"/>
      <w:sz w:val="36"/>
      <w:szCs w:val="36"/>
      <w:lang w:val="en-GB"/>
    </w:rPr>
  </w:style>
  <w:style w:type="character" w:customStyle="1" w:styleId="Heading3Char">
    <w:name w:val="Heading 3 Char"/>
    <w:aliases w:val="Headings (numbered) Char"/>
    <w:basedOn w:val="DefaultParagraphFont"/>
    <w:link w:val="Heading3"/>
    <w:uiPriority w:val="2"/>
    <w:rsid w:val="000426B0"/>
    <w:rPr>
      <w:rFonts w:asciiTheme="majorHAnsi" w:eastAsia="Times New Roman" w:hAnsiTheme="majorHAnsi"/>
      <w:b/>
      <w:color w:val="1C1F63" w:themeColor="accent3"/>
      <w:sz w:val="28"/>
      <w:lang w:val="en-GB"/>
    </w:rPr>
  </w:style>
  <w:style w:type="character" w:customStyle="1" w:styleId="ListParagraphChar">
    <w:name w:val="List Paragraph Char"/>
    <w:aliases w:val="Number List Char"/>
    <w:basedOn w:val="DefaultParagraphFont"/>
    <w:link w:val="ListParagraph"/>
    <w:uiPriority w:val="34"/>
    <w:locked/>
    <w:rsid w:val="00606DF2"/>
    <w:rPr>
      <w:rFonts w:ascii="Arial" w:hAnsi="Arial"/>
      <w:sz w:val="24"/>
      <w:lang w:val="en-GB"/>
    </w:rPr>
  </w:style>
  <w:style w:type="character" w:customStyle="1" w:styleId="BodytextChar">
    <w:name w:val="Body text Char"/>
    <w:basedOn w:val="DefaultParagraphFont"/>
    <w:link w:val="BodyText1"/>
    <w:locked/>
    <w:rsid w:val="009B3BE6"/>
    <w:rPr>
      <w:rFonts w:ascii="Arial" w:eastAsia="Times New Roman" w:hAnsi="Arial" w:cs="Arial"/>
      <w:color w:val="1C1F63" w:themeColor="text1"/>
      <w:sz w:val="24"/>
      <w:szCs w:val="24"/>
      <w:lang w:eastAsia="en-GB"/>
    </w:rPr>
  </w:style>
  <w:style w:type="paragraph" w:customStyle="1" w:styleId="BodyText1">
    <w:name w:val="Body Text1"/>
    <w:basedOn w:val="Normal"/>
    <w:link w:val="BodytextChar"/>
    <w:qFormat/>
    <w:rsid w:val="00606DF2"/>
    <w:pPr>
      <w:spacing w:after="0" w:line="240" w:lineRule="auto"/>
    </w:pPr>
    <w:rPr>
      <w:rFonts w:eastAsia="Times New Roman" w:cs="Arial"/>
      <w:color w:val="1C1F63" w:themeColor="text1"/>
      <w:szCs w:val="24"/>
      <w:lang w:val="en-US" w:eastAsia="en-GB"/>
    </w:rPr>
  </w:style>
  <w:style w:type="character" w:customStyle="1" w:styleId="Head2Char">
    <w:name w:val="Head 2 Char"/>
    <w:basedOn w:val="DefaultParagraphFont"/>
    <w:link w:val="Head2"/>
    <w:semiHidden/>
    <w:locked/>
    <w:rsid w:val="009B3BE6"/>
    <w:rPr>
      <w:rFonts w:ascii="Arial" w:hAnsi="Arial" w:cs="Arial"/>
      <w:b/>
      <w:color w:val="1C1F63" w:themeColor="text1"/>
      <w:sz w:val="28"/>
      <w:szCs w:val="28"/>
    </w:rPr>
  </w:style>
  <w:style w:type="paragraph" w:customStyle="1" w:styleId="Head2">
    <w:name w:val="Head 2"/>
    <w:basedOn w:val="Normal"/>
    <w:link w:val="Head2Char"/>
    <w:semiHidden/>
    <w:qFormat/>
    <w:rsid w:val="00606DF2"/>
    <w:pPr>
      <w:spacing w:after="0" w:line="240" w:lineRule="auto"/>
      <w:outlineLvl w:val="1"/>
    </w:pPr>
    <w:rPr>
      <w:rFonts w:cs="Arial"/>
      <w:b/>
      <w:color w:val="1C1F63" w:themeColor="text1"/>
      <w:sz w:val="28"/>
      <w:szCs w:val="28"/>
      <w:lang w:val="en-US"/>
    </w:rPr>
  </w:style>
  <w:style w:type="paragraph" w:styleId="Caption">
    <w:name w:val="caption"/>
    <w:basedOn w:val="Normal"/>
    <w:next w:val="Normal"/>
    <w:uiPriority w:val="35"/>
    <w:unhideWhenUsed/>
    <w:qFormat/>
    <w:rsid w:val="00C41765"/>
    <w:pPr>
      <w:spacing w:after="200" w:line="240" w:lineRule="auto"/>
    </w:pPr>
    <w:rPr>
      <w:rFonts w:ascii="Tahoma" w:eastAsia="Calibri" w:hAnsi="Tahoma" w:cs="Tahoma"/>
      <w:i/>
      <w:iCs/>
      <w:color w:val="44546A" w:themeColor="text2"/>
      <w:sz w:val="18"/>
      <w:szCs w:val="18"/>
    </w:rPr>
  </w:style>
  <w:style w:type="paragraph" w:styleId="NormalWeb">
    <w:name w:val="Normal (Web)"/>
    <w:basedOn w:val="Normal"/>
    <w:uiPriority w:val="99"/>
    <w:rsid w:val="0066655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i-provider">
    <w:name w:val="ui-provider"/>
    <w:basedOn w:val="DefaultParagraphFont"/>
    <w:rsid w:val="00666553"/>
  </w:style>
  <w:style w:type="paragraph" w:customStyle="1" w:styleId="Default">
    <w:name w:val="Default"/>
    <w:rsid w:val="004F33BB"/>
    <w:pPr>
      <w:autoSpaceDE w:val="0"/>
      <w:autoSpaceDN w:val="0"/>
      <w:adjustRightInd w:val="0"/>
      <w:spacing w:after="0" w:line="240" w:lineRule="auto"/>
    </w:pPr>
    <w:rPr>
      <w:rFonts w:ascii="Arial" w:hAnsi="Arial" w:cs="Arial"/>
      <w:color w:val="000000"/>
      <w:sz w:val="24"/>
      <w:szCs w:val="24"/>
      <w:lang w:val="en-GB"/>
    </w:rPr>
  </w:style>
  <w:style w:type="table" w:styleId="LightList-Accent3">
    <w:name w:val="Light List Accent 3"/>
    <w:basedOn w:val="TableNormal"/>
    <w:uiPriority w:val="61"/>
    <w:rsid w:val="00CF1903"/>
    <w:pPr>
      <w:spacing w:after="0" w:line="240" w:lineRule="auto"/>
    </w:pPr>
    <w:rPr>
      <w:rFonts w:eastAsiaTheme="minorEastAsia"/>
    </w:rPr>
    <w:tblPr>
      <w:tblStyleRowBandSize w:val="1"/>
      <w:tblStyleColBandSize w:val="1"/>
      <w:tblBorders>
        <w:top w:val="single" w:sz="8" w:space="0" w:color="1C1F63" w:themeColor="accent3"/>
        <w:left w:val="single" w:sz="8" w:space="0" w:color="1C1F63" w:themeColor="accent3"/>
        <w:bottom w:val="single" w:sz="8" w:space="0" w:color="1C1F63" w:themeColor="accent3"/>
        <w:right w:val="single" w:sz="8" w:space="0" w:color="1C1F63" w:themeColor="accent3"/>
      </w:tblBorders>
    </w:tblPr>
    <w:tblStylePr w:type="firstRow">
      <w:pPr>
        <w:spacing w:before="0" w:after="0" w:line="240" w:lineRule="auto"/>
      </w:pPr>
      <w:rPr>
        <w:b/>
        <w:bCs/>
        <w:color w:val="FFFFFF" w:themeColor="background1"/>
      </w:rPr>
      <w:tblPr/>
      <w:tcPr>
        <w:shd w:val="clear" w:color="auto" w:fill="1C1F63" w:themeFill="accent3"/>
      </w:tcPr>
    </w:tblStylePr>
    <w:tblStylePr w:type="lastRow">
      <w:pPr>
        <w:spacing w:before="0" w:after="0" w:line="240" w:lineRule="auto"/>
      </w:pPr>
      <w:rPr>
        <w:b/>
        <w:bCs/>
      </w:rPr>
      <w:tblPr/>
      <w:tcPr>
        <w:tcBorders>
          <w:top w:val="double" w:sz="6" w:space="0" w:color="1C1F63" w:themeColor="accent3"/>
          <w:left w:val="single" w:sz="8" w:space="0" w:color="1C1F63" w:themeColor="accent3"/>
          <w:bottom w:val="single" w:sz="8" w:space="0" w:color="1C1F63" w:themeColor="accent3"/>
          <w:right w:val="single" w:sz="8" w:space="0" w:color="1C1F63" w:themeColor="accent3"/>
        </w:tcBorders>
      </w:tcPr>
    </w:tblStylePr>
    <w:tblStylePr w:type="firstCol">
      <w:rPr>
        <w:b/>
        <w:bCs/>
      </w:rPr>
    </w:tblStylePr>
    <w:tblStylePr w:type="lastCol">
      <w:rPr>
        <w:b/>
        <w:bCs/>
      </w:rPr>
    </w:tblStylePr>
    <w:tblStylePr w:type="band1Vert">
      <w:tblPr/>
      <w:tcPr>
        <w:tcBorders>
          <w:top w:val="single" w:sz="8" w:space="0" w:color="1C1F63" w:themeColor="accent3"/>
          <w:left w:val="single" w:sz="8" w:space="0" w:color="1C1F63" w:themeColor="accent3"/>
          <w:bottom w:val="single" w:sz="8" w:space="0" w:color="1C1F63" w:themeColor="accent3"/>
          <w:right w:val="single" w:sz="8" w:space="0" w:color="1C1F63" w:themeColor="accent3"/>
        </w:tcBorders>
      </w:tcPr>
    </w:tblStylePr>
    <w:tblStylePr w:type="band1Horz">
      <w:tblPr/>
      <w:tcPr>
        <w:tcBorders>
          <w:top w:val="single" w:sz="8" w:space="0" w:color="1C1F63" w:themeColor="accent3"/>
          <w:left w:val="single" w:sz="8" w:space="0" w:color="1C1F63" w:themeColor="accent3"/>
          <w:bottom w:val="single" w:sz="8" w:space="0" w:color="1C1F63" w:themeColor="accent3"/>
          <w:right w:val="single" w:sz="8" w:space="0" w:color="1C1F63" w:themeColor="accent3"/>
        </w:tcBorders>
      </w:tcPr>
    </w:tblStylePr>
  </w:style>
  <w:style w:type="paragraph" w:styleId="Revision">
    <w:name w:val="Revision"/>
    <w:hidden/>
    <w:uiPriority w:val="99"/>
    <w:semiHidden/>
    <w:rsid w:val="00E90C1B"/>
    <w:pPr>
      <w:spacing w:after="0" w:line="240" w:lineRule="auto"/>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9468">
      <w:bodyDiv w:val="1"/>
      <w:marLeft w:val="0"/>
      <w:marRight w:val="0"/>
      <w:marTop w:val="0"/>
      <w:marBottom w:val="0"/>
      <w:divBdr>
        <w:top w:val="none" w:sz="0" w:space="0" w:color="auto"/>
        <w:left w:val="none" w:sz="0" w:space="0" w:color="auto"/>
        <w:bottom w:val="none" w:sz="0" w:space="0" w:color="auto"/>
        <w:right w:val="none" w:sz="0" w:space="0" w:color="auto"/>
      </w:divBdr>
    </w:div>
    <w:div w:id="520945761">
      <w:bodyDiv w:val="1"/>
      <w:marLeft w:val="0"/>
      <w:marRight w:val="0"/>
      <w:marTop w:val="0"/>
      <w:marBottom w:val="0"/>
      <w:divBdr>
        <w:top w:val="none" w:sz="0" w:space="0" w:color="auto"/>
        <w:left w:val="none" w:sz="0" w:space="0" w:color="auto"/>
        <w:bottom w:val="none" w:sz="0" w:space="0" w:color="auto"/>
        <w:right w:val="none" w:sz="0" w:space="0" w:color="auto"/>
      </w:divBdr>
    </w:div>
    <w:div w:id="693775967">
      <w:bodyDiv w:val="1"/>
      <w:marLeft w:val="0"/>
      <w:marRight w:val="0"/>
      <w:marTop w:val="0"/>
      <w:marBottom w:val="0"/>
      <w:divBdr>
        <w:top w:val="none" w:sz="0" w:space="0" w:color="auto"/>
        <w:left w:val="none" w:sz="0" w:space="0" w:color="auto"/>
        <w:bottom w:val="none" w:sz="0" w:space="0" w:color="auto"/>
        <w:right w:val="none" w:sz="0" w:space="0" w:color="auto"/>
      </w:divBdr>
    </w:div>
    <w:div w:id="843860203">
      <w:bodyDiv w:val="1"/>
      <w:marLeft w:val="0"/>
      <w:marRight w:val="0"/>
      <w:marTop w:val="0"/>
      <w:marBottom w:val="0"/>
      <w:divBdr>
        <w:top w:val="none" w:sz="0" w:space="0" w:color="auto"/>
        <w:left w:val="none" w:sz="0" w:space="0" w:color="auto"/>
        <w:bottom w:val="none" w:sz="0" w:space="0" w:color="auto"/>
        <w:right w:val="none" w:sz="0" w:space="0" w:color="auto"/>
      </w:divBdr>
    </w:div>
    <w:div w:id="1224756660">
      <w:bodyDiv w:val="1"/>
      <w:marLeft w:val="0"/>
      <w:marRight w:val="0"/>
      <w:marTop w:val="0"/>
      <w:marBottom w:val="0"/>
      <w:divBdr>
        <w:top w:val="none" w:sz="0" w:space="0" w:color="auto"/>
        <w:left w:val="none" w:sz="0" w:space="0" w:color="auto"/>
        <w:bottom w:val="none" w:sz="0" w:space="0" w:color="auto"/>
        <w:right w:val="none" w:sz="0" w:space="0" w:color="auto"/>
      </w:divBdr>
      <w:divsChild>
        <w:div w:id="1169370692">
          <w:marLeft w:val="0"/>
          <w:marRight w:val="0"/>
          <w:marTop w:val="0"/>
          <w:marBottom w:val="0"/>
          <w:divBdr>
            <w:top w:val="none" w:sz="0" w:space="0" w:color="auto"/>
            <w:left w:val="none" w:sz="0" w:space="0" w:color="auto"/>
            <w:bottom w:val="none" w:sz="0" w:space="0" w:color="auto"/>
            <w:right w:val="none" w:sz="0" w:space="0" w:color="auto"/>
          </w:divBdr>
        </w:div>
        <w:div w:id="44984856">
          <w:marLeft w:val="0"/>
          <w:marRight w:val="0"/>
          <w:marTop w:val="0"/>
          <w:marBottom w:val="0"/>
          <w:divBdr>
            <w:top w:val="none" w:sz="0" w:space="0" w:color="auto"/>
            <w:left w:val="none" w:sz="0" w:space="0" w:color="auto"/>
            <w:bottom w:val="none" w:sz="0" w:space="0" w:color="auto"/>
            <w:right w:val="none" w:sz="0" w:space="0" w:color="auto"/>
          </w:divBdr>
        </w:div>
        <w:div w:id="1284656049">
          <w:marLeft w:val="0"/>
          <w:marRight w:val="0"/>
          <w:marTop w:val="0"/>
          <w:marBottom w:val="0"/>
          <w:divBdr>
            <w:top w:val="none" w:sz="0" w:space="0" w:color="auto"/>
            <w:left w:val="none" w:sz="0" w:space="0" w:color="auto"/>
            <w:bottom w:val="none" w:sz="0" w:space="0" w:color="auto"/>
            <w:right w:val="none" w:sz="0" w:space="0" w:color="auto"/>
          </w:divBdr>
        </w:div>
        <w:div w:id="366951920">
          <w:marLeft w:val="0"/>
          <w:marRight w:val="0"/>
          <w:marTop w:val="0"/>
          <w:marBottom w:val="0"/>
          <w:divBdr>
            <w:top w:val="none" w:sz="0" w:space="0" w:color="auto"/>
            <w:left w:val="none" w:sz="0" w:space="0" w:color="auto"/>
            <w:bottom w:val="none" w:sz="0" w:space="0" w:color="auto"/>
            <w:right w:val="none" w:sz="0" w:space="0" w:color="auto"/>
          </w:divBdr>
        </w:div>
      </w:divsChild>
    </w:div>
    <w:div w:id="1671130836">
      <w:bodyDiv w:val="1"/>
      <w:marLeft w:val="0"/>
      <w:marRight w:val="0"/>
      <w:marTop w:val="0"/>
      <w:marBottom w:val="0"/>
      <w:divBdr>
        <w:top w:val="none" w:sz="0" w:space="0" w:color="auto"/>
        <w:left w:val="none" w:sz="0" w:space="0" w:color="auto"/>
        <w:bottom w:val="none" w:sz="0" w:space="0" w:color="auto"/>
        <w:right w:val="none" w:sz="0" w:space="0" w:color="auto"/>
      </w:divBdr>
    </w:div>
    <w:div w:id="1796870378">
      <w:bodyDiv w:val="1"/>
      <w:marLeft w:val="0"/>
      <w:marRight w:val="0"/>
      <w:marTop w:val="0"/>
      <w:marBottom w:val="0"/>
      <w:divBdr>
        <w:top w:val="none" w:sz="0" w:space="0" w:color="auto"/>
        <w:left w:val="none" w:sz="0" w:space="0" w:color="auto"/>
        <w:bottom w:val="none" w:sz="0" w:space="0" w:color="auto"/>
        <w:right w:val="none" w:sz="0" w:space="0" w:color="auto"/>
      </w:divBdr>
    </w:div>
    <w:div w:id="1870951616">
      <w:bodyDiv w:val="1"/>
      <w:marLeft w:val="0"/>
      <w:marRight w:val="0"/>
      <w:marTop w:val="0"/>
      <w:marBottom w:val="0"/>
      <w:divBdr>
        <w:top w:val="none" w:sz="0" w:space="0" w:color="auto"/>
        <w:left w:val="none" w:sz="0" w:space="0" w:color="auto"/>
        <w:bottom w:val="none" w:sz="0" w:space="0" w:color="auto"/>
        <w:right w:val="none" w:sz="0" w:space="0" w:color="auto"/>
      </w:divBdr>
    </w:div>
    <w:div w:id="20783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www2.deloitte.com/content/dam/Deloitte/global/Documents/deloitte-2022-genz-millennial-survey.pdf" TargetMode="Externa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www.gallup.com/workplace/352118/environment-social-governance-reporting-perspective.asp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2.png"/><Relationship Id="rId29" Type="http://schemas.openxmlformats.org/officeDocument/2006/relationships/hyperlink" Target="https://www.legislation.gov.uk/ukpga/2022/31/contents/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eforum.org/agenda/2021/03/gen-z-unemployment-chart-global-comparison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s://www.youtube.com/watch?v=bsZnuMlY7QU" TargetMode="External"/><Relationship Id="rId28" Type="http://schemas.openxmlformats.org/officeDocument/2006/relationships/hyperlink" Target="https://www2.deloitte.com/content/dam/Deloitte/global/Documents/deloitte-2022-genz-millennial-survey.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oquip.eu/slug/ecoquip-plus-case-study-report-fina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hyperlink" Target="https://cleartrace.io/"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chemeClr val="accent5"/>
              </a:solidFill>
            </a:ln>
          </c:spPr>
          <c:dPt>
            <c:idx val="0"/>
            <c:bubble3D val="0"/>
            <c:spPr>
              <a:solidFill>
                <a:schemeClr val="accent5"/>
              </a:solidFill>
              <a:ln>
                <a:solidFill>
                  <a:schemeClr val="accent5"/>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6C9-4D9C-905D-EFA234E25CC5}"/>
              </c:ext>
            </c:extLst>
          </c:dPt>
          <c:dPt>
            <c:idx val="1"/>
            <c:bubble3D val="0"/>
            <c:spPr>
              <a:solidFill>
                <a:schemeClr val="accent2"/>
              </a:solidFill>
              <a:ln>
                <a:solidFill>
                  <a:schemeClr val="accent5"/>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6C9-4D9C-905D-EFA234E25CC5}"/>
              </c:ext>
            </c:extLst>
          </c:dPt>
          <c:dPt>
            <c:idx val="2"/>
            <c:bubble3D val="0"/>
            <c:spPr>
              <a:solidFill>
                <a:schemeClr val="tx2"/>
              </a:solidFill>
              <a:ln>
                <a:solidFill>
                  <a:schemeClr val="accent5"/>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6C9-4D9C-905D-EFA234E25CC5}"/>
              </c:ext>
            </c:extLst>
          </c:dPt>
          <c:dPt>
            <c:idx val="3"/>
            <c:bubble3D val="0"/>
            <c:spPr>
              <a:solidFill>
                <a:schemeClr val="accent3"/>
              </a:solidFill>
              <a:ln>
                <a:solidFill>
                  <a:schemeClr val="accent5"/>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6C9-4D9C-905D-EFA234E25CC5}"/>
              </c:ext>
            </c:extLst>
          </c:dPt>
          <c:dPt>
            <c:idx val="4"/>
            <c:bubble3D val="0"/>
            <c:spPr>
              <a:solidFill>
                <a:schemeClr val="accent4"/>
              </a:solidFill>
              <a:ln>
                <a:solidFill>
                  <a:schemeClr val="accent5"/>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6C9-4D9C-905D-EFA234E25CC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1-B6C9-4D9C-905D-EFA234E25CC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3-B6C9-4D9C-905D-EFA234E25CC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5-B6C9-4D9C-905D-EFA234E25CC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7-B6C9-4D9C-905D-EFA234E25CC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9-B6C9-4D9C-905D-EFA234E25CC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NHS Carbon Footprint Plus ICS - NBT and UHBW.xlsx]ICS'!$A$24:$A$28</c:f>
              <c:strCache>
                <c:ptCount val="5"/>
                <c:pt idx="0">
                  <c:v>Buildings and Energy</c:v>
                </c:pt>
                <c:pt idx="1">
                  <c:v>Travel, Transport and Air Quality</c:v>
                </c:pt>
                <c:pt idx="2">
                  <c:v>Waste</c:v>
                </c:pt>
                <c:pt idx="3">
                  <c:v>Procurement</c:v>
                </c:pt>
                <c:pt idx="4">
                  <c:v>Medicines</c:v>
                </c:pt>
              </c:strCache>
            </c:strRef>
          </c:cat>
          <c:val>
            <c:numRef>
              <c:f>'[Copy of NHS Carbon Footprint Plus ICS - NBT and UHBW.xlsx]ICS'!$B$24:$B$28</c:f>
              <c:numCache>
                <c:formatCode>#,##0</c:formatCode>
                <c:ptCount val="5"/>
                <c:pt idx="0">
                  <c:v>76710</c:v>
                </c:pt>
                <c:pt idx="1">
                  <c:v>51570</c:v>
                </c:pt>
                <c:pt idx="2">
                  <c:v>3020</c:v>
                </c:pt>
                <c:pt idx="3">
                  <c:v>157220</c:v>
                </c:pt>
                <c:pt idx="4">
                  <c:v>106620</c:v>
                </c:pt>
              </c:numCache>
            </c:numRef>
          </c:val>
          <c:extLst>
            <c:ext xmlns:c16="http://schemas.microsoft.com/office/drawing/2014/chart" uri="{C3380CC4-5D6E-409C-BE32-E72D297353CC}">
              <c16:uniqueId val="{0000000A-B6C9-4D9C-905D-EFA234E25CC5}"/>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 trajectory</a:t>
            </a:r>
          </a:p>
        </c:rich>
      </c:tx>
      <c:layout>
        <c:manualLayout>
          <c:xMode val="edge"/>
          <c:yMode val="edge"/>
          <c:x val="9.3925235911776914E-2"/>
          <c:y val="2.2277239011620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5462554846678326E-2"/>
          <c:y val="8.769621775819425E-2"/>
          <c:w val="0.77142510886328963"/>
          <c:h val="0.83396556480643214"/>
        </c:manualLayout>
      </c:layout>
      <c:areaChart>
        <c:grouping val="stacked"/>
        <c:varyColors val="0"/>
        <c:ser>
          <c:idx val="2"/>
          <c:order val="0"/>
          <c:tx>
            <c:v>Procurement</c:v>
          </c:tx>
          <c:spPr>
            <a:solidFill>
              <a:schemeClr val="accent3"/>
            </a:solidFill>
            <a:ln>
              <a:noFill/>
            </a:ln>
            <a:effectLst/>
          </c:spPr>
          <c:val>
            <c:numRef>
              <c:f>'[240702 Green Plan Delivery Plan V3.1 copy with workstream graphs v2.xlsx]Sheet1'!$N$107:$AA$107</c:f>
              <c:numCache>
                <c:formatCode>General</c:formatCode>
                <c:ptCount val="14"/>
                <c:pt idx="0">
                  <c:v>157220</c:v>
                </c:pt>
                <c:pt idx="1">
                  <c:v>157175</c:v>
                </c:pt>
                <c:pt idx="2">
                  <c:v>157175</c:v>
                </c:pt>
                <c:pt idx="3">
                  <c:v>144501.4</c:v>
                </c:pt>
                <c:pt idx="4">
                  <c:v>144501.4</c:v>
                </c:pt>
                <c:pt idx="5">
                  <c:v>138116.6</c:v>
                </c:pt>
                <c:pt idx="6">
                  <c:v>138116.6</c:v>
                </c:pt>
                <c:pt idx="7">
                  <c:v>114044.55</c:v>
                </c:pt>
                <c:pt idx="8">
                  <c:v>114044.55</c:v>
                </c:pt>
                <c:pt idx="9">
                  <c:v>89972.5</c:v>
                </c:pt>
                <c:pt idx="10">
                  <c:v>89972.5</c:v>
                </c:pt>
                <c:pt idx="11">
                  <c:v>65900.45</c:v>
                </c:pt>
                <c:pt idx="12">
                  <c:v>65900.45</c:v>
                </c:pt>
                <c:pt idx="13" formatCode="0">
                  <c:v>41828.399999999994</c:v>
                </c:pt>
              </c:numCache>
            </c:numRef>
          </c:val>
          <c:extLst>
            <c:ext xmlns:c16="http://schemas.microsoft.com/office/drawing/2014/chart" uri="{C3380CC4-5D6E-409C-BE32-E72D297353CC}">
              <c16:uniqueId val="{00000000-CCD9-4CC9-A75B-E9A9C39F039B}"/>
            </c:ext>
          </c:extLst>
        </c:ser>
        <c:ser>
          <c:idx val="3"/>
          <c:order val="1"/>
          <c:tx>
            <c:v>Medicines</c:v>
          </c:tx>
          <c:spPr>
            <a:solidFill>
              <a:schemeClr val="accent4"/>
            </a:solidFill>
            <a:ln>
              <a:noFill/>
            </a:ln>
            <a:effectLst/>
          </c:spPr>
          <c:val>
            <c:numRef>
              <c:f>'[240702 Green Plan Delivery Plan V3.1 copy with workstream graphs v2.xlsx]Sheet1'!$N$147:$AA$147</c:f>
              <c:numCache>
                <c:formatCode>General</c:formatCode>
                <c:ptCount val="14"/>
                <c:pt idx="0">
                  <c:v>106620</c:v>
                </c:pt>
                <c:pt idx="1">
                  <c:v>106500.6</c:v>
                </c:pt>
                <c:pt idx="2">
                  <c:v>106500.6</c:v>
                </c:pt>
                <c:pt idx="3">
                  <c:v>106500.6</c:v>
                </c:pt>
                <c:pt idx="4">
                  <c:v>106500.6</c:v>
                </c:pt>
                <c:pt idx="5">
                  <c:v>104262.35</c:v>
                </c:pt>
                <c:pt idx="6">
                  <c:v>104262.35</c:v>
                </c:pt>
                <c:pt idx="7">
                  <c:v>102024.1</c:v>
                </c:pt>
                <c:pt idx="8">
                  <c:v>102024.1</c:v>
                </c:pt>
                <c:pt idx="9">
                  <c:v>98890.35</c:v>
                </c:pt>
                <c:pt idx="10">
                  <c:v>98890.35</c:v>
                </c:pt>
                <c:pt idx="11">
                  <c:v>96652.1</c:v>
                </c:pt>
                <c:pt idx="12">
                  <c:v>96652.1</c:v>
                </c:pt>
                <c:pt idx="13" formatCode="0">
                  <c:v>52757.000000000007</c:v>
                </c:pt>
              </c:numCache>
            </c:numRef>
          </c:val>
          <c:extLst>
            <c:ext xmlns:c16="http://schemas.microsoft.com/office/drawing/2014/chart" uri="{C3380CC4-5D6E-409C-BE32-E72D297353CC}">
              <c16:uniqueId val="{00000001-CCD9-4CC9-A75B-E9A9C39F039B}"/>
            </c:ext>
          </c:extLst>
        </c:ser>
        <c:ser>
          <c:idx val="1"/>
          <c:order val="3"/>
          <c:tx>
            <c:v>Travel and Transport</c:v>
          </c:tx>
          <c:spPr>
            <a:solidFill>
              <a:schemeClr val="accent2"/>
            </a:solidFill>
            <a:ln>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v2.xlsx]Sheet1'!$N$6:$AA$6</c:f>
              <c:numCache>
                <c:formatCode>General</c:formatCode>
                <c:ptCount val="14"/>
                <c:pt idx="0">
                  <c:v>51570</c:v>
                </c:pt>
                <c:pt idx="1">
                  <c:v>51570</c:v>
                </c:pt>
                <c:pt idx="2">
                  <c:v>51570</c:v>
                </c:pt>
                <c:pt idx="3">
                  <c:v>48368.5</c:v>
                </c:pt>
                <c:pt idx="4">
                  <c:v>48368.5</c:v>
                </c:pt>
                <c:pt idx="5">
                  <c:v>48368.5</c:v>
                </c:pt>
                <c:pt idx="6">
                  <c:v>48368.5</c:v>
                </c:pt>
                <c:pt idx="7">
                  <c:v>47844.5</c:v>
                </c:pt>
                <c:pt idx="8">
                  <c:v>47844.5</c:v>
                </c:pt>
                <c:pt idx="9">
                  <c:v>47844.5</c:v>
                </c:pt>
                <c:pt idx="10">
                  <c:v>47844.5</c:v>
                </c:pt>
                <c:pt idx="11">
                  <c:v>47844.5</c:v>
                </c:pt>
                <c:pt idx="12">
                  <c:v>47844.5</c:v>
                </c:pt>
                <c:pt idx="13">
                  <c:v>35759</c:v>
                </c:pt>
              </c:numCache>
            </c:numRef>
          </c:val>
          <c:extLst>
            <c:ext xmlns:c16="http://schemas.microsoft.com/office/drawing/2014/chart" uri="{C3380CC4-5D6E-409C-BE32-E72D297353CC}">
              <c16:uniqueId val="{00000002-CCD9-4CC9-A75B-E9A9C39F039B}"/>
            </c:ext>
          </c:extLst>
        </c:ser>
        <c:ser>
          <c:idx val="4"/>
          <c:order val="4"/>
          <c:tx>
            <c:v>Buildings and Energy</c:v>
          </c:tx>
          <c:spPr>
            <a:solidFill>
              <a:schemeClr val="accent5"/>
            </a:solidFill>
            <a:ln>
              <a:noFill/>
            </a:ln>
            <a:effectLst/>
          </c:spPr>
          <c:val>
            <c:numRef>
              <c:f>'[240702 Green Plan Delivery Plan V3.1 copy with workstream graphs v2.xlsx]Sheet1'!$N$168:$AA$168</c:f>
              <c:numCache>
                <c:formatCode>General</c:formatCode>
                <c:ptCount val="14"/>
                <c:pt idx="0">
                  <c:v>76710</c:v>
                </c:pt>
                <c:pt idx="1">
                  <c:v>76710</c:v>
                </c:pt>
                <c:pt idx="2">
                  <c:v>76710</c:v>
                </c:pt>
                <c:pt idx="3">
                  <c:v>74964.5</c:v>
                </c:pt>
                <c:pt idx="4">
                  <c:v>74964.5</c:v>
                </c:pt>
                <c:pt idx="5">
                  <c:v>67304.5</c:v>
                </c:pt>
                <c:pt idx="6">
                  <c:v>67304.5</c:v>
                </c:pt>
                <c:pt idx="7">
                  <c:v>52030.5</c:v>
                </c:pt>
                <c:pt idx="8">
                  <c:v>52030.5</c:v>
                </c:pt>
                <c:pt idx="9">
                  <c:v>16087</c:v>
                </c:pt>
                <c:pt idx="10">
                  <c:v>16087</c:v>
                </c:pt>
                <c:pt idx="11">
                  <c:v>11001</c:v>
                </c:pt>
                <c:pt idx="12">
                  <c:v>11001</c:v>
                </c:pt>
                <c:pt idx="13">
                  <c:v>5842</c:v>
                </c:pt>
              </c:numCache>
            </c:numRef>
          </c:val>
          <c:extLst>
            <c:ext xmlns:c16="http://schemas.microsoft.com/office/drawing/2014/chart" uri="{C3380CC4-5D6E-409C-BE32-E72D297353CC}">
              <c16:uniqueId val="{00000003-CCD9-4CC9-A75B-E9A9C39F039B}"/>
            </c:ext>
          </c:extLst>
        </c:ser>
        <c:dLbls>
          <c:showLegendKey val="0"/>
          <c:showVal val="0"/>
          <c:showCatName val="0"/>
          <c:showSerName val="0"/>
          <c:showPercent val="0"/>
          <c:showBubbleSize val="0"/>
        </c:dLbls>
        <c:axId val="1728094000"/>
        <c:axId val="309636176"/>
      </c:areaChart>
      <c:lineChart>
        <c:grouping val="standard"/>
        <c:varyColors val="0"/>
        <c:ser>
          <c:idx val="0"/>
          <c:order val="2"/>
          <c:tx>
            <c:v>Waste</c:v>
          </c:tx>
          <c:spPr>
            <a:ln w="28575" cap="rnd">
              <a:solidFill>
                <a:schemeClr val="accent1"/>
              </a:solidFill>
              <a:round/>
            </a:ln>
            <a:effectLst/>
          </c:spPr>
          <c:marker>
            <c:symbol val="none"/>
          </c:marker>
          <c:val>
            <c:numRef>
              <c:f>'[240702 Green Plan Delivery Plan V3.1 copy with workstream graphs v2.xlsx]Sheet1'!$N$67:$AA$67</c:f>
              <c:numCache>
                <c:formatCode>General</c:formatCode>
                <c:ptCount val="14"/>
                <c:pt idx="0">
                  <c:v>3020</c:v>
                </c:pt>
                <c:pt idx="1">
                  <c:v>3020</c:v>
                </c:pt>
                <c:pt idx="2">
                  <c:v>3020</c:v>
                </c:pt>
                <c:pt idx="3">
                  <c:v>2808.6</c:v>
                </c:pt>
                <c:pt idx="4">
                  <c:v>2808.6</c:v>
                </c:pt>
                <c:pt idx="5">
                  <c:v>1902.6</c:v>
                </c:pt>
                <c:pt idx="6">
                  <c:v>1902.6</c:v>
                </c:pt>
                <c:pt idx="7">
                  <c:v>1600.6</c:v>
                </c:pt>
                <c:pt idx="8">
                  <c:v>1600.6</c:v>
                </c:pt>
                <c:pt idx="9">
                  <c:v>1600.6</c:v>
                </c:pt>
                <c:pt idx="10">
                  <c:v>1600.6</c:v>
                </c:pt>
                <c:pt idx="11">
                  <c:v>1600.6</c:v>
                </c:pt>
                <c:pt idx="12">
                  <c:v>1600.6</c:v>
                </c:pt>
                <c:pt idx="13" formatCode="0">
                  <c:v>1600.6</c:v>
                </c:pt>
              </c:numCache>
            </c:numRef>
          </c:val>
          <c:smooth val="0"/>
          <c:extLst>
            <c:ext xmlns:c16="http://schemas.microsoft.com/office/drawing/2014/chart" uri="{C3380CC4-5D6E-409C-BE32-E72D297353CC}">
              <c16:uniqueId val="{00000004-CCD9-4CC9-A75B-E9A9C39F039B}"/>
            </c:ext>
          </c:extLst>
        </c:ser>
        <c:ser>
          <c:idx val="5"/>
          <c:order val="5"/>
          <c:tx>
            <c:v>Unfunded Buildings and Energy Trajectory</c:v>
          </c:tx>
          <c:spPr>
            <a:ln w="28575" cap="rnd">
              <a:solidFill>
                <a:schemeClr val="accent5"/>
              </a:solidFill>
              <a:round/>
            </a:ln>
            <a:effectLst/>
          </c:spPr>
          <c:marker>
            <c:symbol val="none"/>
          </c:marke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v2.xlsx]Sheet1'!$N$356:$AA$356</c:f>
              <c:numCache>
                <c:formatCode>General</c:formatCode>
                <c:ptCount val="14"/>
                <c:pt idx="0">
                  <c:v>395140</c:v>
                </c:pt>
                <c:pt idx="1">
                  <c:v>394975.6</c:v>
                </c:pt>
                <c:pt idx="2">
                  <c:v>394975.6</c:v>
                </c:pt>
                <c:pt idx="3">
                  <c:v>378417.1</c:v>
                </c:pt>
                <c:pt idx="4">
                  <c:v>378417.1</c:v>
                </c:pt>
                <c:pt idx="5">
                  <c:v>363802.05</c:v>
                </c:pt>
                <c:pt idx="6">
                  <c:v>363802.05</c:v>
                </c:pt>
                <c:pt idx="7">
                  <c:v>331579.75</c:v>
                </c:pt>
                <c:pt idx="8">
                  <c:v>331579.75</c:v>
                </c:pt>
                <c:pt idx="9">
                  <c:v>299287.95</c:v>
                </c:pt>
                <c:pt idx="10">
                  <c:v>299287.95</c:v>
                </c:pt>
                <c:pt idx="11">
                  <c:v>267891.65000000002</c:v>
                </c:pt>
                <c:pt idx="12">
                  <c:v>267891.65000000002</c:v>
                </c:pt>
                <c:pt idx="13">
                  <c:v>182753</c:v>
                </c:pt>
              </c:numCache>
            </c:numRef>
          </c:val>
          <c:smooth val="0"/>
          <c:extLst>
            <c:ext xmlns:c16="http://schemas.microsoft.com/office/drawing/2014/chart" uri="{C3380CC4-5D6E-409C-BE32-E72D297353CC}">
              <c16:uniqueId val="{00000005-CCD9-4CC9-A75B-E9A9C39F039B}"/>
            </c:ext>
          </c:extLst>
        </c:ser>
        <c:dLbls>
          <c:showLegendKey val="0"/>
          <c:showVal val="0"/>
          <c:showCatName val="0"/>
          <c:showSerName val="0"/>
          <c:showPercent val="0"/>
          <c:showBubbleSize val="0"/>
        </c:dLbls>
        <c:marker val="1"/>
        <c:smooth val="0"/>
        <c:axId val="1728094000"/>
        <c:axId val="309636176"/>
      </c:lineChart>
      <c:catAx>
        <c:axId val="172809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8499434834898142"/>
              <c:y val="0.910611038990998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36176"/>
        <c:crosses val="autoZero"/>
        <c:auto val="1"/>
        <c:lblAlgn val="ctr"/>
        <c:lblOffset val="100"/>
        <c:noMultiLvlLbl val="0"/>
      </c:catAx>
      <c:valAx>
        <c:axId val="30963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Tonnes CO2e</a:t>
                </a:r>
              </a:p>
            </c:rich>
          </c:tx>
          <c:layout>
            <c:manualLayout>
              <c:xMode val="edge"/>
              <c:yMode val="edge"/>
              <c:x val="0"/>
              <c:y val="0.329883677113304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094000"/>
        <c:crosses val="autoZero"/>
        <c:crossBetween val="between"/>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77173447940521378"/>
          <c:y val="4.6416233543929543E-3"/>
          <c:w val="0.22635254258556325"/>
          <c:h val="0.4838208381304368"/>
        </c:manualLayout>
      </c:layout>
      <c:overlay val="1"/>
      <c:spPr>
        <a:noFill/>
        <a:ln>
          <a:noFill/>
        </a:ln>
        <a:effectLst/>
      </c:spPr>
      <c:txPr>
        <a:bodyPr rot="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Acute </a:t>
            </a:r>
            <a:r>
              <a:rPr lang="en-GB" baseline="0"/>
              <a:t>Trusts' Carbon Emissions</a:t>
            </a:r>
            <a:endParaRPr lang="en-GB"/>
          </a:p>
        </c:rich>
      </c:tx>
      <c:layout>
        <c:manualLayout>
          <c:xMode val="edge"/>
          <c:yMode val="edge"/>
          <c:x val="0.19487329474400286"/>
          <c:y val="2.21483942414174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36222916522398"/>
          <c:y val="0.14479140215883185"/>
          <c:w val="0.85879417168042815"/>
          <c:h val="0.65756650609856726"/>
        </c:manualLayout>
      </c:layout>
      <c:barChart>
        <c:barDir val="col"/>
        <c:grouping val="stacked"/>
        <c:varyColors val="0"/>
        <c:ser>
          <c:idx val="0"/>
          <c:order val="0"/>
          <c:tx>
            <c:strRef>
              <c:f>'[ENV-11 Sustainability Database plus UHBW.xlsx]Trends'!$B$20</c:f>
              <c:strCache>
                <c:ptCount val="1"/>
                <c:pt idx="0">
                  <c:v>Scope 3</c:v>
                </c:pt>
              </c:strCache>
            </c:strRef>
          </c:tx>
          <c:spPr>
            <a:solidFill>
              <a:srgbClr val="275C9D"/>
            </a:solidFill>
            <a:ln>
              <a:noFill/>
            </a:ln>
            <a:effectLst/>
          </c:spPr>
          <c:invertIfNegative val="0"/>
          <c:cat>
            <c:strRef>
              <c:f>'[ENV-11 Sustainability Database plus UHBW.xlsx]Trends'!$C$19:$AG$19</c:f>
              <c:strCache>
                <c:ptCount val="3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pt idx="21">
                  <c:v>2040/41</c:v>
                </c:pt>
                <c:pt idx="22">
                  <c:v>2041/42</c:v>
                </c:pt>
                <c:pt idx="23">
                  <c:v>2042/43</c:v>
                </c:pt>
                <c:pt idx="24">
                  <c:v>2043/44</c:v>
                </c:pt>
                <c:pt idx="25">
                  <c:v>2044/45</c:v>
                </c:pt>
                <c:pt idx="26">
                  <c:v>2045/46</c:v>
                </c:pt>
                <c:pt idx="27">
                  <c:v>2046/47</c:v>
                </c:pt>
                <c:pt idx="28">
                  <c:v>2047/48</c:v>
                </c:pt>
                <c:pt idx="29">
                  <c:v>2048/49</c:v>
                </c:pt>
                <c:pt idx="30">
                  <c:v>2049/50</c:v>
                </c:pt>
              </c:strCache>
            </c:strRef>
          </c:cat>
          <c:val>
            <c:numRef>
              <c:f>'[ENV-11 Sustainability Database plus UHBW.xlsx]Trends'!$C$20:$AG$20</c:f>
              <c:numCache>
                <c:formatCode>0</c:formatCode>
                <c:ptCount val="31"/>
                <c:pt idx="0">
                  <c:v>150629.98048628497</c:v>
                </c:pt>
                <c:pt idx="1">
                  <c:v>183608.44222733122</c:v>
                </c:pt>
                <c:pt idx="2">
                  <c:v>240541.61900203783</c:v>
                </c:pt>
                <c:pt idx="3">
                  <c:v>220294.57885903495</c:v>
                </c:pt>
                <c:pt idx="4">
                  <c:v>267468.68695937051</c:v>
                </c:pt>
                <c:pt idx="5">
                  <c:v>-47174.10810033555</c:v>
                </c:pt>
                <c:pt idx="6" formatCode="General">
                  <c:v>-0.21414103036335702</c:v>
                </c:pt>
              </c:numCache>
            </c:numRef>
          </c:val>
          <c:extLst>
            <c:ext xmlns:c16="http://schemas.microsoft.com/office/drawing/2014/chart" uri="{C3380CC4-5D6E-409C-BE32-E72D297353CC}">
              <c16:uniqueId val="{00000000-29C3-48EC-9993-6EEDA57A8492}"/>
            </c:ext>
          </c:extLst>
        </c:ser>
        <c:ser>
          <c:idx val="1"/>
          <c:order val="1"/>
          <c:tx>
            <c:strRef>
              <c:f>'[ENV-11 Sustainability Database plus UHBW.xlsx]Trends'!$B$21</c:f>
              <c:strCache>
                <c:ptCount val="1"/>
                <c:pt idx="0">
                  <c:v>Scope 2</c:v>
                </c:pt>
              </c:strCache>
            </c:strRef>
          </c:tx>
          <c:spPr>
            <a:solidFill>
              <a:srgbClr val="00CCFF"/>
            </a:solidFill>
            <a:ln>
              <a:noFill/>
            </a:ln>
            <a:effectLst/>
          </c:spPr>
          <c:invertIfNegative val="0"/>
          <c:cat>
            <c:strRef>
              <c:f>'[ENV-11 Sustainability Database plus UHBW.xlsx]Trends'!$C$19:$AG$19</c:f>
              <c:strCache>
                <c:ptCount val="3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pt idx="21">
                  <c:v>2040/41</c:v>
                </c:pt>
                <c:pt idx="22">
                  <c:v>2041/42</c:v>
                </c:pt>
                <c:pt idx="23">
                  <c:v>2042/43</c:v>
                </c:pt>
                <c:pt idx="24">
                  <c:v>2043/44</c:v>
                </c:pt>
                <c:pt idx="25">
                  <c:v>2044/45</c:v>
                </c:pt>
                <c:pt idx="26">
                  <c:v>2045/46</c:v>
                </c:pt>
                <c:pt idx="27">
                  <c:v>2046/47</c:v>
                </c:pt>
                <c:pt idx="28">
                  <c:v>2047/48</c:v>
                </c:pt>
                <c:pt idx="29">
                  <c:v>2048/49</c:v>
                </c:pt>
                <c:pt idx="30">
                  <c:v>2049/50</c:v>
                </c:pt>
              </c:strCache>
            </c:strRef>
          </c:cat>
          <c:val>
            <c:numRef>
              <c:f>'[ENV-11 Sustainability Database plus UHBW.xlsx]Trends'!$C$21:$AG$21</c:f>
              <c:numCache>
                <c:formatCode>0</c:formatCode>
                <c:ptCount val="31"/>
                <c:pt idx="0">
                  <c:v>17127.942266400001</c:v>
                </c:pt>
                <c:pt idx="1">
                  <c:v>14037.083048659999</c:v>
                </c:pt>
                <c:pt idx="2">
                  <c:v>10162.22521318</c:v>
                </c:pt>
                <c:pt idx="3">
                  <c:v>8912.7957384799993</c:v>
                </c:pt>
                <c:pt idx="4">
                  <c:v>8984.9512891061677</c:v>
                </c:pt>
                <c:pt idx="5">
                  <c:v>-72.155550626168406</c:v>
                </c:pt>
                <c:pt idx="6" formatCode="General">
                  <c:v>3.5696505335360257E-2</c:v>
                </c:pt>
              </c:numCache>
            </c:numRef>
          </c:val>
          <c:extLst>
            <c:ext xmlns:c16="http://schemas.microsoft.com/office/drawing/2014/chart" uri="{C3380CC4-5D6E-409C-BE32-E72D297353CC}">
              <c16:uniqueId val="{00000001-29C3-48EC-9993-6EEDA57A8492}"/>
            </c:ext>
          </c:extLst>
        </c:ser>
        <c:ser>
          <c:idx val="2"/>
          <c:order val="2"/>
          <c:tx>
            <c:strRef>
              <c:f>'[ENV-11 Sustainability Database plus UHBW.xlsx]Trends'!$B$22</c:f>
              <c:strCache>
                <c:ptCount val="1"/>
                <c:pt idx="0">
                  <c:v>Scope 1</c:v>
                </c:pt>
              </c:strCache>
            </c:strRef>
          </c:tx>
          <c:spPr>
            <a:solidFill>
              <a:srgbClr val="B7E4FF"/>
            </a:solidFill>
            <a:ln>
              <a:noFill/>
            </a:ln>
            <a:effectLst/>
          </c:spPr>
          <c:invertIfNegative val="0"/>
          <c:cat>
            <c:strRef>
              <c:f>'[ENV-11 Sustainability Database plus UHBW.xlsx]Trends'!$C$19:$AG$19</c:f>
              <c:strCache>
                <c:ptCount val="3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pt idx="21">
                  <c:v>2040/41</c:v>
                </c:pt>
                <c:pt idx="22">
                  <c:v>2041/42</c:v>
                </c:pt>
                <c:pt idx="23">
                  <c:v>2042/43</c:v>
                </c:pt>
                <c:pt idx="24">
                  <c:v>2043/44</c:v>
                </c:pt>
                <c:pt idx="25">
                  <c:v>2044/45</c:v>
                </c:pt>
                <c:pt idx="26">
                  <c:v>2045/46</c:v>
                </c:pt>
                <c:pt idx="27">
                  <c:v>2046/47</c:v>
                </c:pt>
                <c:pt idx="28">
                  <c:v>2047/48</c:v>
                </c:pt>
                <c:pt idx="29">
                  <c:v>2048/49</c:v>
                </c:pt>
                <c:pt idx="30">
                  <c:v>2049/50</c:v>
                </c:pt>
              </c:strCache>
            </c:strRef>
          </c:cat>
          <c:val>
            <c:numRef>
              <c:f>'[ENV-11 Sustainability Database plus UHBW.xlsx]Trends'!$C$22:$AG$22</c:f>
              <c:numCache>
                <c:formatCode>0</c:formatCode>
                <c:ptCount val="31"/>
                <c:pt idx="0">
                  <c:v>26107.777303587001</c:v>
                </c:pt>
                <c:pt idx="1">
                  <c:v>27935.596627990002</c:v>
                </c:pt>
                <c:pt idx="2">
                  <c:v>34340.604939910001</c:v>
                </c:pt>
                <c:pt idx="3">
                  <c:v>31875.51074478</c:v>
                </c:pt>
                <c:pt idx="4">
                  <c:v>30347.765258373845</c:v>
                </c:pt>
                <c:pt idx="5">
                  <c:v>1527.7454864061547</c:v>
                </c:pt>
              </c:numCache>
            </c:numRef>
          </c:val>
          <c:extLst>
            <c:ext xmlns:c16="http://schemas.microsoft.com/office/drawing/2014/chart" uri="{C3380CC4-5D6E-409C-BE32-E72D297353CC}">
              <c16:uniqueId val="{00000002-29C3-48EC-9993-6EEDA57A8492}"/>
            </c:ext>
          </c:extLst>
        </c:ser>
        <c:dLbls>
          <c:showLegendKey val="0"/>
          <c:showVal val="0"/>
          <c:showCatName val="0"/>
          <c:showSerName val="0"/>
          <c:showPercent val="0"/>
          <c:showBubbleSize val="0"/>
        </c:dLbls>
        <c:gapWidth val="150"/>
        <c:overlap val="100"/>
        <c:axId val="66559488"/>
        <c:axId val="1170462463"/>
      </c:barChart>
      <c:lineChart>
        <c:grouping val="standard"/>
        <c:varyColors val="0"/>
        <c:ser>
          <c:idx val="3"/>
          <c:order val="3"/>
          <c:tx>
            <c:strRef>
              <c:f>'[ENV-11 Sustainability Database plus UHBW.xlsx]Trends'!$B$23</c:f>
              <c:strCache>
                <c:ptCount val="1"/>
                <c:pt idx="0">
                  <c:v>One City Net Zero Goal</c:v>
                </c:pt>
              </c:strCache>
            </c:strRef>
          </c:tx>
          <c:spPr>
            <a:ln w="12700" cap="rnd">
              <a:solidFill>
                <a:schemeClr val="tx1"/>
              </a:solidFill>
              <a:prstDash val="sysDash"/>
              <a:round/>
            </a:ln>
            <a:effectLst/>
          </c:spPr>
          <c:marker>
            <c:symbol val="none"/>
          </c:marker>
          <c:cat>
            <c:strRef>
              <c:f>'[ENV-11 Sustainability Database plus UHBW.xlsx]Trends'!$C$19:$AG$19</c:f>
              <c:strCache>
                <c:ptCount val="3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pt idx="21">
                  <c:v>2040/41</c:v>
                </c:pt>
                <c:pt idx="22">
                  <c:v>2041/42</c:v>
                </c:pt>
                <c:pt idx="23">
                  <c:v>2042/43</c:v>
                </c:pt>
                <c:pt idx="24">
                  <c:v>2043/44</c:v>
                </c:pt>
                <c:pt idx="25">
                  <c:v>2044/45</c:v>
                </c:pt>
                <c:pt idx="26">
                  <c:v>2045/46</c:v>
                </c:pt>
                <c:pt idx="27">
                  <c:v>2046/47</c:v>
                </c:pt>
                <c:pt idx="28">
                  <c:v>2047/48</c:v>
                </c:pt>
                <c:pt idx="29">
                  <c:v>2048/49</c:v>
                </c:pt>
                <c:pt idx="30">
                  <c:v>2049/50</c:v>
                </c:pt>
              </c:strCache>
            </c:strRef>
          </c:cat>
          <c:val>
            <c:numRef>
              <c:f>'[ENV-11 Sustainability Database plus UHBW.xlsx]Trends'!$C$23:$AG$23</c:f>
              <c:numCache>
                <c:formatCode>0</c:formatCode>
                <c:ptCount val="31"/>
                <c:pt idx="0">
                  <c:v>193866</c:v>
                </c:pt>
                <c:pt idx="1">
                  <c:v>174479.4</c:v>
                </c:pt>
                <c:pt idx="2">
                  <c:v>155092.79999999999</c:v>
                </c:pt>
                <c:pt idx="3">
                  <c:v>135706.19999999998</c:v>
                </c:pt>
                <c:pt idx="4">
                  <c:v>116319.59999999998</c:v>
                </c:pt>
                <c:pt idx="5">
                  <c:v>96932.999999999971</c:v>
                </c:pt>
                <c:pt idx="6">
                  <c:v>77546.399999999965</c:v>
                </c:pt>
                <c:pt idx="7">
                  <c:v>58159.799999999967</c:v>
                </c:pt>
                <c:pt idx="8">
                  <c:v>38773.199999999968</c:v>
                </c:pt>
                <c:pt idx="9">
                  <c:v>19386.599999999969</c:v>
                </c:pt>
                <c:pt idx="10">
                  <c:v>-2.9103830456733704E-11</c:v>
                </c:pt>
              </c:numCache>
            </c:numRef>
          </c:val>
          <c:smooth val="0"/>
          <c:extLst>
            <c:ext xmlns:c16="http://schemas.microsoft.com/office/drawing/2014/chart" uri="{C3380CC4-5D6E-409C-BE32-E72D297353CC}">
              <c16:uniqueId val="{00000003-29C3-48EC-9993-6EEDA57A8492}"/>
            </c:ext>
          </c:extLst>
        </c:ser>
        <c:ser>
          <c:idx val="4"/>
          <c:order val="4"/>
          <c:tx>
            <c:strRef>
              <c:f>'[ENV-11 Sustainability Database plus UHBW.xlsx]Trends'!$B$24</c:f>
              <c:strCache>
                <c:ptCount val="1"/>
                <c:pt idx="0">
                  <c:v>NHS Net Zero Goal</c:v>
                </c:pt>
              </c:strCache>
            </c:strRef>
          </c:tx>
          <c:spPr>
            <a:ln w="12700" cap="rnd">
              <a:solidFill>
                <a:srgbClr val="FFC000"/>
              </a:solidFill>
              <a:prstDash val="sysDash"/>
              <a:round/>
            </a:ln>
            <a:effectLst/>
          </c:spPr>
          <c:marker>
            <c:symbol val="none"/>
          </c:marker>
          <c:cat>
            <c:strRef>
              <c:f>'[ENV-11 Sustainability Database plus UHBW.xlsx]Trends'!$C$19:$AG$19</c:f>
              <c:strCache>
                <c:ptCount val="3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pt idx="21">
                  <c:v>2040/41</c:v>
                </c:pt>
                <c:pt idx="22">
                  <c:v>2041/42</c:v>
                </c:pt>
                <c:pt idx="23">
                  <c:v>2042/43</c:v>
                </c:pt>
                <c:pt idx="24">
                  <c:v>2043/44</c:v>
                </c:pt>
                <c:pt idx="25">
                  <c:v>2044/45</c:v>
                </c:pt>
                <c:pt idx="26">
                  <c:v>2045/46</c:v>
                </c:pt>
                <c:pt idx="27">
                  <c:v>2046/47</c:v>
                </c:pt>
                <c:pt idx="28">
                  <c:v>2047/48</c:v>
                </c:pt>
                <c:pt idx="29">
                  <c:v>2048/49</c:v>
                </c:pt>
                <c:pt idx="30">
                  <c:v>2049/50</c:v>
                </c:pt>
              </c:strCache>
            </c:strRef>
          </c:cat>
          <c:val>
            <c:numRef>
              <c:f>'[ENV-11 Sustainability Database plus UHBW.xlsx]Trends'!$C$24:$AG$24</c:f>
              <c:numCache>
                <c:formatCode>0</c:formatCode>
                <c:ptCount val="31"/>
                <c:pt idx="0">
                  <c:v>193866</c:v>
                </c:pt>
                <c:pt idx="1">
                  <c:v>186111.35999999999</c:v>
                </c:pt>
                <c:pt idx="2">
                  <c:v>178356.71999999997</c:v>
                </c:pt>
                <c:pt idx="3">
                  <c:v>170602.07999999996</c:v>
                </c:pt>
                <c:pt idx="4">
                  <c:v>162847.43999999994</c:v>
                </c:pt>
                <c:pt idx="5">
                  <c:v>155092.79999999993</c:v>
                </c:pt>
                <c:pt idx="6">
                  <c:v>147338.15999999992</c:v>
                </c:pt>
                <c:pt idx="7">
                  <c:v>139583.5199999999</c:v>
                </c:pt>
                <c:pt idx="8">
                  <c:v>131828.87999999989</c:v>
                </c:pt>
                <c:pt idx="9">
                  <c:v>124074.23999999989</c:v>
                </c:pt>
                <c:pt idx="10">
                  <c:v>116319.59999999989</c:v>
                </c:pt>
                <c:pt idx="11">
                  <c:v>108564.95999999989</c:v>
                </c:pt>
                <c:pt idx="12">
                  <c:v>100810.31999999989</c:v>
                </c:pt>
                <c:pt idx="13">
                  <c:v>93055.679999999891</c:v>
                </c:pt>
                <c:pt idx="14">
                  <c:v>85301.039999999892</c:v>
                </c:pt>
                <c:pt idx="15">
                  <c:v>77546.399999999892</c:v>
                </c:pt>
                <c:pt idx="16">
                  <c:v>69791.759999999893</c:v>
                </c:pt>
                <c:pt idx="17">
                  <c:v>62037.119999999893</c:v>
                </c:pt>
                <c:pt idx="18">
                  <c:v>54282.479999999894</c:v>
                </c:pt>
                <c:pt idx="19">
                  <c:v>46527.839999999895</c:v>
                </c:pt>
                <c:pt idx="20">
                  <c:v>38773.199999999895</c:v>
                </c:pt>
                <c:pt idx="21">
                  <c:v>31018.559999999896</c:v>
                </c:pt>
                <c:pt idx="22">
                  <c:v>23263.919999999896</c:v>
                </c:pt>
                <c:pt idx="23">
                  <c:v>15509.279999999897</c:v>
                </c:pt>
                <c:pt idx="24">
                  <c:v>7754.6399999998966</c:v>
                </c:pt>
                <c:pt idx="25">
                  <c:v>-1.0368239600211382E-10</c:v>
                </c:pt>
              </c:numCache>
            </c:numRef>
          </c:val>
          <c:smooth val="0"/>
          <c:extLst>
            <c:ext xmlns:c16="http://schemas.microsoft.com/office/drawing/2014/chart" uri="{C3380CC4-5D6E-409C-BE32-E72D297353CC}">
              <c16:uniqueId val="{00000004-29C3-48EC-9993-6EEDA57A8492}"/>
            </c:ext>
          </c:extLst>
        </c:ser>
        <c:ser>
          <c:idx val="5"/>
          <c:order val="5"/>
          <c:tx>
            <c:strRef>
              <c:f>'[ENV-11 Sustainability Database plus UHBW.xlsx]Trends'!$B$25</c:f>
              <c:strCache>
                <c:ptCount val="1"/>
                <c:pt idx="0">
                  <c:v>Climate Change Act 2008</c:v>
                </c:pt>
              </c:strCache>
            </c:strRef>
          </c:tx>
          <c:spPr>
            <a:ln w="19050" cap="rnd">
              <a:solidFill>
                <a:srgbClr val="92D050"/>
              </a:solidFill>
              <a:prstDash val="sysDash"/>
              <a:round/>
            </a:ln>
            <a:effectLst/>
          </c:spPr>
          <c:marker>
            <c:symbol val="none"/>
          </c:marker>
          <c:cat>
            <c:strRef>
              <c:f>'[ENV-11 Sustainability Database plus UHBW.xlsx]Trends'!$C$19:$AG$19</c:f>
              <c:strCache>
                <c:ptCount val="3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pt idx="21">
                  <c:v>2040/41</c:v>
                </c:pt>
                <c:pt idx="22">
                  <c:v>2041/42</c:v>
                </c:pt>
                <c:pt idx="23">
                  <c:v>2042/43</c:v>
                </c:pt>
                <c:pt idx="24">
                  <c:v>2043/44</c:v>
                </c:pt>
                <c:pt idx="25">
                  <c:v>2044/45</c:v>
                </c:pt>
                <c:pt idx="26">
                  <c:v>2045/46</c:v>
                </c:pt>
                <c:pt idx="27">
                  <c:v>2046/47</c:v>
                </c:pt>
                <c:pt idx="28">
                  <c:v>2047/48</c:v>
                </c:pt>
                <c:pt idx="29">
                  <c:v>2048/49</c:v>
                </c:pt>
                <c:pt idx="30">
                  <c:v>2049/50</c:v>
                </c:pt>
              </c:strCache>
            </c:strRef>
          </c:cat>
          <c:val>
            <c:numRef>
              <c:f>'[ENV-11 Sustainability Database plus UHBW.xlsx]Trends'!$C$25:$AG$25</c:f>
              <c:numCache>
                <c:formatCode>0</c:formatCode>
                <c:ptCount val="31"/>
                <c:pt idx="0">
                  <c:v>193866</c:v>
                </c:pt>
                <c:pt idx="1">
                  <c:v>187403.8</c:v>
                </c:pt>
                <c:pt idx="2">
                  <c:v>180941.59999999998</c:v>
                </c:pt>
                <c:pt idx="3">
                  <c:v>174479.39999999997</c:v>
                </c:pt>
                <c:pt idx="4">
                  <c:v>168017.19999999995</c:v>
                </c:pt>
                <c:pt idx="5">
                  <c:v>161554.99999999994</c:v>
                </c:pt>
                <c:pt idx="6">
                  <c:v>155092.79999999993</c:v>
                </c:pt>
                <c:pt idx="7">
                  <c:v>148630.59999999992</c:v>
                </c:pt>
                <c:pt idx="8">
                  <c:v>142168.39999999991</c:v>
                </c:pt>
                <c:pt idx="9">
                  <c:v>135706.1999999999</c:v>
                </c:pt>
                <c:pt idx="10">
                  <c:v>129243.9999999999</c:v>
                </c:pt>
                <c:pt idx="11">
                  <c:v>122781.7999999999</c:v>
                </c:pt>
                <c:pt idx="12">
                  <c:v>116319.5999999999</c:v>
                </c:pt>
                <c:pt idx="13">
                  <c:v>109857.39999999991</c:v>
                </c:pt>
                <c:pt idx="14">
                  <c:v>103395.19999999991</c:v>
                </c:pt>
                <c:pt idx="15">
                  <c:v>96932.999999999913</c:v>
                </c:pt>
                <c:pt idx="16">
                  <c:v>90470.799999999916</c:v>
                </c:pt>
                <c:pt idx="17">
                  <c:v>84008.599999999919</c:v>
                </c:pt>
                <c:pt idx="18">
                  <c:v>77546.399999999921</c:v>
                </c:pt>
                <c:pt idx="19">
                  <c:v>71084.199999999924</c:v>
                </c:pt>
                <c:pt idx="20">
                  <c:v>64621.999999999927</c:v>
                </c:pt>
                <c:pt idx="21">
                  <c:v>58159.79999999993</c:v>
                </c:pt>
                <c:pt idx="22">
                  <c:v>51697.599999999933</c:v>
                </c:pt>
                <c:pt idx="23">
                  <c:v>45235.399999999936</c:v>
                </c:pt>
                <c:pt idx="24">
                  <c:v>38773.199999999939</c:v>
                </c:pt>
                <c:pt idx="25">
                  <c:v>32310.999999999938</c:v>
                </c:pt>
                <c:pt idx="26">
                  <c:v>25848.799999999937</c:v>
                </c:pt>
                <c:pt idx="27">
                  <c:v>19386.599999999937</c:v>
                </c:pt>
                <c:pt idx="28">
                  <c:v>12924.399999999936</c:v>
                </c:pt>
                <c:pt idx="29">
                  <c:v>6462.1999999999362</c:v>
                </c:pt>
                <c:pt idx="30">
                  <c:v>-6.3664629124104977E-11</c:v>
                </c:pt>
              </c:numCache>
            </c:numRef>
          </c:val>
          <c:smooth val="0"/>
          <c:extLst>
            <c:ext xmlns:c16="http://schemas.microsoft.com/office/drawing/2014/chart" uri="{C3380CC4-5D6E-409C-BE32-E72D297353CC}">
              <c16:uniqueId val="{00000005-29C3-48EC-9993-6EEDA57A8492}"/>
            </c:ext>
          </c:extLst>
        </c:ser>
        <c:dLbls>
          <c:showLegendKey val="0"/>
          <c:showVal val="0"/>
          <c:showCatName val="0"/>
          <c:showSerName val="0"/>
          <c:showPercent val="0"/>
          <c:showBubbleSize val="0"/>
        </c:dLbls>
        <c:marker val="1"/>
        <c:smooth val="0"/>
        <c:axId val="66559488"/>
        <c:axId val="1170462463"/>
      </c:lineChart>
      <c:catAx>
        <c:axId val="6655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462463"/>
        <c:crosses val="autoZero"/>
        <c:auto val="1"/>
        <c:lblAlgn val="ctr"/>
        <c:lblOffset val="100"/>
        <c:noMultiLvlLbl val="0"/>
      </c:catAx>
      <c:valAx>
        <c:axId val="117046246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Carbon emitted (tonnes CO</a:t>
                </a:r>
                <a:r>
                  <a:rPr lang="en-GB">
                    <a:latin typeface="Calibri" panose="020F0502020204030204" pitchFamily="34" charset="0"/>
                    <a:cs typeface="Calibri" panose="020F0502020204030204" pitchFamily="34" charset="0"/>
                  </a:rPr>
                  <a:t>₂e)</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59488"/>
        <c:crosses val="autoZero"/>
        <c:crossBetween val="between"/>
      </c:valAx>
      <c:spPr>
        <a:noFill/>
        <a:ln>
          <a:noFill/>
        </a:ln>
        <a:effectLst/>
      </c:spPr>
    </c:plotArea>
    <c:legend>
      <c:legendPos val="r"/>
      <c:layout>
        <c:manualLayout>
          <c:xMode val="edge"/>
          <c:yMode val="edge"/>
          <c:x val="0.76035048128037286"/>
          <c:y val="0.12525736608505333"/>
          <c:w val="0.23802469336961438"/>
          <c:h val="0.52720502960385762"/>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 abatement cost</a:t>
            </a:r>
          </a:p>
        </c:rich>
      </c:tx>
      <c:layout>
        <c:manualLayout>
          <c:xMode val="edge"/>
          <c:yMode val="edge"/>
          <c:x val="0.22035171538822979"/>
          <c:y val="5.779687922183193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941189767547003E-2"/>
          <c:y val="8.769621775819425E-2"/>
          <c:w val="0.75425656481934977"/>
          <c:h val="0.83396556480643214"/>
        </c:manualLayout>
      </c:layout>
      <c:areaChart>
        <c:grouping val="stacked"/>
        <c:varyColors val="0"/>
        <c:ser>
          <c:idx val="2"/>
          <c:order val="0"/>
          <c:tx>
            <c:v>Procurement</c:v>
          </c:tx>
          <c:spPr>
            <a:solidFill>
              <a:schemeClr val="accent3"/>
            </a:solidFill>
            <a:ln>
              <a:noFill/>
            </a:ln>
            <a:effectLst/>
          </c:spPr>
          <c:val>
            <c:numRef>
              <c:f>'[240702 Green Plan Delivery Plan V3.1 copy with workstream graphs v2.xlsx]abatement cost'!$N$107:$AA$107</c:f>
              <c:numCache>
                <c:formatCode>General</c:formatCode>
                <c:ptCount val="14"/>
                <c:pt idx="0">
                  <c:v>59429160</c:v>
                </c:pt>
                <c:pt idx="1">
                  <c:v>59412150</c:v>
                </c:pt>
                <c:pt idx="2">
                  <c:v>59412150</c:v>
                </c:pt>
                <c:pt idx="3">
                  <c:v>54545487.600000001</c:v>
                </c:pt>
                <c:pt idx="4">
                  <c:v>54545487.600000001</c:v>
                </c:pt>
                <c:pt idx="5">
                  <c:v>52055415.600000001</c:v>
                </c:pt>
                <c:pt idx="6">
                  <c:v>52055415.600000001</c:v>
                </c:pt>
                <c:pt idx="7">
                  <c:v>42522883.800000004</c:v>
                </c:pt>
                <c:pt idx="8">
                  <c:v>42522883.800000004</c:v>
                </c:pt>
                <c:pt idx="9">
                  <c:v>32845919.700000003</c:v>
                </c:pt>
                <c:pt idx="10">
                  <c:v>32845919.700000003</c:v>
                </c:pt>
                <c:pt idx="11">
                  <c:v>23024523.300000004</c:v>
                </c:pt>
                <c:pt idx="12">
                  <c:v>23024523.300000004</c:v>
                </c:pt>
                <c:pt idx="13">
                  <c:v>13058694.600000005</c:v>
                </c:pt>
              </c:numCache>
            </c:numRef>
          </c:val>
          <c:extLst>
            <c:ext xmlns:c16="http://schemas.microsoft.com/office/drawing/2014/chart" uri="{C3380CC4-5D6E-409C-BE32-E72D297353CC}">
              <c16:uniqueId val="{00000000-0968-4F88-B3C6-6A3DFB73AD5A}"/>
            </c:ext>
          </c:extLst>
        </c:ser>
        <c:ser>
          <c:idx val="3"/>
          <c:order val="1"/>
          <c:tx>
            <c:v>Medicines</c:v>
          </c:tx>
          <c:spPr>
            <a:solidFill>
              <a:schemeClr val="accent4"/>
            </a:solidFill>
            <a:ln>
              <a:noFill/>
            </a:ln>
            <a:effectLst/>
          </c:spPr>
          <c:val>
            <c:numRef>
              <c:f>'[240702 Green Plan Delivery Plan V3.1 copy with workstream graphs v2.xlsx]abatement cost'!$N$147:$AA$147</c:f>
              <c:numCache>
                <c:formatCode>General</c:formatCode>
                <c:ptCount val="14"/>
                <c:pt idx="0">
                  <c:v>40302360</c:v>
                </c:pt>
                <c:pt idx="1">
                  <c:v>40257226.799999997</c:v>
                </c:pt>
                <c:pt idx="2">
                  <c:v>40257226.799999997</c:v>
                </c:pt>
                <c:pt idx="3">
                  <c:v>40257226.799999997</c:v>
                </c:pt>
                <c:pt idx="4">
                  <c:v>40257226.799999997</c:v>
                </c:pt>
                <c:pt idx="5">
                  <c:v>39384309.299999997</c:v>
                </c:pt>
                <c:pt idx="6">
                  <c:v>39384309.299999997</c:v>
                </c:pt>
                <c:pt idx="7">
                  <c:v>38497962.299999997</c:v>
                </c:pt>
                <c:pt idx="8">
                  <c:v>38497962.299999997</c:v>
                </c:pt>
                <c:pt idx="9">
                  <c:v>37238194.799999997</c:v>
                </c:pt>
                <c:pt idx="10">
                  <c:v>37238194.799999997</c:v>
                </c:pt>
                <c:pt idx="11">
                  <c:v>36324988.799999997</c:v>
                </c:pt>
                <c:pt idx="12">
                  <c:v>36324988.799999997</c:v>
                </c:pt>
                <c:pt idx="13">
                  <c:v>18152417.399999999</c:v>
                </c:pt>
              </c:numCache>
            </c:numRef>
          </c:val>
          <c:extLst>
            <c:ext xmlns:c16="http://schemas.microsoft.com/office/drawing/2014/chart" uri="{C3380CC4-5D6E-409C-BE32-E72D297353CC}">
              <c16:uniqueId val="{00000001-0968-4F88-B3C6-6A3DFB73AD5A}"/>
            </c:ext>
          </c:extLst>
        </c:ser>
        <c:ser>
          <c:idx val="1"/>
          <c:order val="3"/>
          <c:tx>
            <c:v>Travel and Transport</c:v>
          </c:tx>
          <c:spPr>
            <a:solidFill>
              <a:schemeClr val="accent2"/>
            </a:solidFill>
            <a:ln>
              <a:noFill/>
            </a:ln>
            <a:effectLst/>
          </c:spPr>
          <c:cat>
            <c:strRef>
              <c:f>'[240702 Green Plan Delivery Plan V3.1 copy with workstream graphs v2.xlsx]abatement cost'!$N$3:$AA$3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v2.xlsx]abatement cost'!$N$6:$AA$6</c:f>
              <c:numCache>
                <c:formatCode>General</c:formatCode>
                <c:ptCount val="14"/>
                <c:pt idx="0">
                  <c:v>19493460</c:v>
                </c:pt>
                <c:pt idx="1">
                  <c:v>19493460</c:v>
                </c:pt>
                <c:pt idx="2">
                  <c:v>19493460</c:v>
                </c:pt>
                <c:pt idx="3">
                  <c:v>18264084</c:v>
                </c:pt>
                <c:pt idx="4">
                  <c:v>18264084</c:v>
                </c:pt>
                <c:pt idx="5">
                  <c:v>18264084</c:v>
                </c:pt>
                <c:pt idx="6">
                  <c:v>18264084</c:v>
                </c:pt>
                <c:pt idx="7">
                  <c:v>18056580</c:v>
                </c:pt>
                <c:pt idx="8">
                  <c:v>18056580</c:v>
                </c:pt>
                <c:pt idx="9">
                  <c:v>18056580</c:v>
                </c:pt>
                <c:pt idx="10">
                  <c:v>18056580</c:v>
                </c:pt>
                <c:pt idx="11">
                  <c:v>18056580</c:v>
                </c:pt>
                <c:pt idx="12">
                  <c:v>18056580</c:v>
                </c:pt>
                <c:pt idx="13">
                  <c:v>13053183</c:v>
                </c:pt>
              </c:numCache>
            </c:numRef>
          </c:val>
          <c:extLst>
            <c:ext xmlns:c16="http://schemas.microsoft.com/office/drawing/2014/chart" uri="{C3380CC4-5D6E-409C-BE32-E72D297353CC}">
              <c16:uniqueId val="{00000002-0968-4F88-B3C6-6A3DFB73AD5A}"/>
            </c:ext>
          </c:extLst>
        </c:ser>
        <c:ser>
          <c:idx val="4"/>
          <c:order val="4"/>
          <c:tx>
            <c:v>Buildings and Energy</c:v>
          </c:tx>
          <c:spPr>
            <a:solidFill>
              <a:schemeClr val="accent5"/>
            </a:solidFill>
            <a:ln>
              <a:noFill/>
            </a:ln>
            <a:effectLst/>
          </c:spPr>
          <c:val>
            <c:numRef>
              <c:f>'[240702 Green Plan Delivery Plan V3.1 copy with workstream graphs v2.xlsx]abatement cost'!$N$168:$AA$168</c:f>
              <c:numCache>
                <c:formatCode>General</c:formatCode>
                <c:ptCount val="14"/>
                <c:pt idx="0">
                  <c:v>28996380</c:v>
                </c:pt>
                <c:pt idx="1">
                  <c:v>28996380</c:v>
                </c:pt>
                <c:pt idx="2">
                  <c:v>28996380</c:v>
                </c:pt>
                <c:pt idx="3">
                  <c:v>28326108</c:v>
                </c:pt>
                <c:pt idx="4">
                  <c:v>28326108</c:v>
                </c:pt>
                <c:pt idx="5">
                  <c:v>25338708</c:v>
                </c:pt>
                <c:pt idx="6">
                  <c:v>25338708</c:v>
                </c:pt>
                <c:pt idx="7">
                  <c:v>19290204</c:v>
                </c:pt>
                <c:pt idx="8">
                  <c:v>19290204</c:v>
                </c:pt>
                <c:pt idx="9">
                  <c:v>4840917</c:v>
                </c:pt>
                <c:pt idx="10">
                  <c:v>4840917</c:v>
                </c:pt>
                <c:pt idx="11">
                  <c:v>2765829</c:v>
                </c:pt>
                <c:pt idx="12">
                  <c:v>2765829</c:v>
                </c:pt>
                <c:pt idx="13">
                  <c:v>630003</c:v>
                </c:pt>
              </c:numCache>
            </c:numRef>
          </c:val>
          <c:extLst>
            <c:ext xmlns:c16="http://schemas.microsoft.com/office/drawing/2014/chart" uri="{C3380CC4-5D6E-409C-BE32-E72D297353CC}">
              <c16:uniqueId val="{00000003-0968-4F88-B3C6-6A3DFB73AD5A}"/>
            </c:ext>
          </c:extLst>
        </c:ser>
        <c:dLbls>
          <c:showLegendKey val="0"/>
          <c:showVal val="0"/>
          <c:showCatName val="0"/>
          <c:showSerName val="0"/>
          <c:showPercent val="0"/>
          <c:showBubbleSize val="0"/>
        </c:dLbls>
        <c:axId val="1728094000"/>
        <c:axId val="309636176"/>
      </c:areaChart>
      <c:lineChart>
        <c:grouping val="standard"/>
        <c:varyColors val="0"/>
        <c:ser>
          <c:idx val="0"/>
          <c:order val="2"/>
          <c:tx>
            <c:v>Waste</c:v>
          </c:tx>
          <c:spPr>
            <a:ln w="28575" cap="rnd">
              <a:solidFill>
                <a:schemeClr val="accent1"/>
              </a:solidFill>
              <a:round/>
            </a:ln>
            <a:effectLst/>
          </c:spPr>
          <c:marker>
            <c:symbol val="none"/>
          </c:marker>
          <c:val>
            <c:numRef>
              <c:f>'[240702 Green Plan Delivery Plan V3.1 copy with workstream graphs v2.xlsx]abatement cost'!$N$67:$AA$67</c:f>
              <c:numCache>
                <c:formatCode>General</c:formatCode>
                <c:ptCount val="14"/>
                <c:pt idx="0">
                  <c:v>1141560</c:v>
                </c:pt>
                <c:pt idx="1">
                  <c:v>1141560</c:v>
                </c:pt>
                <c:pt idx="2">
                  <c:v>1141560</c:v>
                </c:pt>
                <c:pt idx="3">
                  <c:v>1060382.3999999999</c:v>
                </c:pt>
                <c:pt idx="4">
                  <c:v>1060382.3999999999</c:v>
                </c:pt>
                <c:pt idx="5">
                  <c:v>707042.39999999991</c:v>
                </c:pt>
                <c:pt idx="6">
                  <c:v>707042.39999999991</c:v>
                </c:pt>
                <c:pt idx="7">
                  <c:v>587450.39999999991</c:v>
                </c:pt>
                <c:pt idx="8">
                  <c:v>587450.39999999991</c:v>
                </c:pt>
                <c:pt idx="9">
                  <c:v>587450.39999999991</c:v>
                </c:pt>
                <c:pt idx="10">
                  <c:v>587450.39999999991</c:v>
                </c:pt>
                <c:pt idx="11">
                  <c:v>587450.39999999991</c:v>
                </c:pt>
                <c:pt idx="12">
                  <c:v>587450.39999999991</c:v>
                </c:pt>
                <c:pt idx="13">
                  <c:v>587450.39999999991</c:v>
                </c:pt>
              </c:numCache>
            </c:numRef>
          </c:val>
          <c:smooth val="0"/>
          <c:extLst>
            <c:ext xmlns:c16="http://schemas.microsoft.com/office/drawing/2014/chart" uri="{C3380CC4-5D6E-409C-BE32-E72D297353CC}">
              <c16:uniqueId val="{00000004-0968-4F88-B3C6-6A3DFB73AD5A}"/>
            </c:ext>
          </c:extLst>
        </c:ser>
        <c:ser>
          <c:idx val="5"/>
          <c:order val="5"/>
          <c:tx>
            <c:v>Unfunded Buildings and Energy Trajectory</c:v>
          </c:tx>
          <c:spPr>
            <a:ln w="28575" cap="rnd">
              <a:solidFill>
                <a:schemeClr val="accent5"/>
              </a:solidFill>
              <a:round/>
            </a:ln>
            <a:effectLst/>
          </c:spPr>
          <c:marker>
            <c:symbol val="none"/>
          </c:marker>
          <c:cat>
            <c:strRef>
              <c:f>'[240702 Green Plan Delivery Plan V3.1 copy with workstream graphs v2.xlsx]abatement cost'!$N$3:$AA$3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v2.xlsx]abatement cost'!$N$356:$AA$356</c:f>
              <c:numCache>
                <c:formatCode>General</c:formatCode>
                <c:ptCount val="14"/>
                <c:pt idx="0">
                  <c:v>149362920</c:v>
                </c:pt>
                <c:pt idx="1">
                  <c:v>149300776.80000001</c:v>
                </c:pt>
                <c:pt idx="2">
                  <c:v>149761036.80000001</c:v>
                </c:pt>
                <c:pt idx="3">
                  <c:v>143402572.80000001</c:v>
                </c:pt>
                <c:pt idx="4">
                  <c:v>143860000.80000001</c:v>
                </c:pt>
                <c:pt idx="5">
                  <c:v>138160131.30000001</c:v>
                </c:pt>
                <c:pt idx="6">
                  <c:v>138587043.30000001</c:v>
                </c:pt>
                <c:pt idx="7">
                  <c:v>125827012.5</c:v>
                </c:pt>
                <c:pt idx="8">
                  <c:v>126223408.5</c:v>
                </c:pt>
                <c:pt idx="9">
                  <c:v>113242104.90000001</c:v>
                </c:pt>
                <c:pt idx="10">
                  <c:v>113607984.90000001</c:v>
                </c:pt>
                <c:pt idx="11">
                  <c:v>100798294.5</c:v>
                </c:pt>
                <c:pt idx="12">
                  <c:v>101133658.5</c:v>
                </c:pt>
                <c:pt idx="13">
                  <c:v>65886257.399999999</c:v>
                </c:pt>
              </c:numCache>
            </c:numRef>
          </c:val>
          <c:smooth val="0"/>
          <c:extLst>
            <c:ext xmlns:c16="http://schemas.microsoft.com/office/drawing/2014/chart" uri="{C3380CC4-5D6E-409C-BE32-E72D297353CC}">
              <c16:uniqueId val="{00000005-0968-4F88-B3C6-6A3DFB73AD5A}"/>
            </c:ext>
          </c:extLst>
        </c:ser>
        <c:dLbls>
          <c:showLegendKey val="0"/>
          <c:showVal val="0"/>
          <c:showCatName val="0"/>
          <c:showSerName val="0"/>
          <c:showPercent val="0"/>
          <c:showBubbleSize val="0"/>
        </c:dLbls>
        <c:marker val="1"/>
        <c:smooth val="0"/>
        <c:axId val="1728094000"/>
        <c:axId val="309636176"/>
      </c:lineChart>
      <c:catAx>
        <c:axId val="172809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8499434834898142"/>
              <c:y val="0.910611038990998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36176"/>
        <c:crosses val="autoZero"/>
        <c:auto val="1"/>
        <c:lblAlgn val="ctr"/>
        <c:lblOffset val="100"/>
        <c:noMultiLvlLbl val="0"/>
      </c:catAx>
      <c:valAx>
        <c:axId val="30963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Annual</a:t>
                </a:r>
                <a:r>
                  <a:rPr lang="en-US" baseline="0"/>
                  <a:t> </a:t>
                </a:r>
                <a:r>
                  <a:rPr lang="en-US"/>
                  <a:t>Cost  £</a:t>
                </a:r>
              </a:p>
            </c:rich>
          </c:tx>
          <c:layout>
            <c:manualLayout>
              <c:xMode val="edge"/>
              <c:yMode val="edge"/>
              <c:x val="0"/>
              <c:y val="0.329883677113304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09400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79007391779376857"/>
          <c:y val="6.8910481448627092E-4"/>
          <c:w val="0.20795629732886259"/>
          <c:h val="0.56749950115884629"/>
        </c:manualLayout>
      </c:layout>
      <c:overlay val="1"/>
      <c:spPr>
        <a:noFill/>
        <a:ln>
          <a:noFill/>
        </a:ln>
        <a:effectLst/>
      </c:spPr>
      <c:txPr>
        <a:bodyPr rot="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 trajectory</a:t>
            </a:r>
          </a:p>
        </c:rich>
      </c:tx>
      <c:layout>
        <c:manualLayout>
          <c:xMode val="edge"/>
          <c:yMode val="edge"/>
          <c:x val="9.3925235911776914E-2"/>
          <c:y val="2.2277239011620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3000716085555547E-2"/>
          <c:y val="2.6756059310498202E-2"/>
          <c:w val="0.78161692601253141"/>
          <c:h val="0.83396556480643214"/>
        </c:manualLayout>
      </c:layout>
      <c:areaChart>
        <c:grouping val="stacked"/>
        <c:varyColors val="0"/>
        <c:ser>
          <c:idx val="0"/>
          <c:order val="0"/>
          <c:tx>
            <c:strRef>
              <c:f>'[240702 Green Plan Delivery Plan V3.1 copy with workstream graphs v2.xlsx]Sheet1'!$AB$168</c:f>
              <c:strCache>
                <c:ptCount val="1"/>
                <c:pt idx="0">
                  <c:v>Further action required</c:v>
                </c:pt>
              </c:strCache>
            </c:strRef>
          </c:tx>
          <c:spPr>
            <a:solidFill>
              <a:schemeClr val="accent1"/>
            </a:solidFill>
            <a:ln w="25400">
              <a:noFill/>
            </a:ln>
            <a:effectLst/>
          </c:spPr>
          <c:cat>
            <c:strRef>
              <c:f>'C:\Users\nb13657\Desktop\[240521 Green Plan Delivery Plan V3.1 TEST carbon reduction.xlsx]Sheet1'!$N$3:$AA$3</c:f>
              <c:strCache>
                <c:ptCount val="14"/>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v2.xlsx]Sheet1'!$AD$168:$AQ$168</c:f>
              <c:numCache>
                <c:formatCode>General</c:formatCode>
                <c:ptCount val="14"/>
                <c:pt idx="0">
                  <c:v>657</c:v>
                </c:pt>
                <c:pt idx="1">
                  <c:v>657</c:v>
                </c:pt>
                <c:pt idx="2">
                  <c:v>657</c:v>
                </c:pt>
                <c:pt idx="3">
                  <c:v>657</c:v>
                </c:pt>
                <c:pt idx="4">
                  <c:v>657</c:v>
                </c:pt>
                <c:pt idx="5">
                  <c:v>657</c:v>
                </c:pt>
                <c:pt idx="6">
                  <c:v>657</c:v>
                </c:pt>
                <c:pt idx="7">
                  <c:v>657</c:v>
                </c:pt>
                <c:pt idx="8">
                  <c:v>657</c:v>
                </c:pt>
                <c:pt idx="9">
                  <c:v>657</c:v>
                </c:pt>
                <c:pt idx="10">
                  <c:v>657</c:v>
                </c:pt>
                <c:pt idx="11">
                  <c:v>657</c:v>
                </c:pt>
                <c:pt idx="12">
                  <c:v>657</c:v>
                </c:pt>
                <c:pt idx="13">
                  <c:v>657</c:v>
                </c:pt>
              </c:numCache>
            </c:numRef>
          </c:val>
          <c:extLst>
            <c:ext xmlns:c16="http://schemas.microsoft.com/office/drawing/2014/chart" uri="{C3380CC4-5D6E-409C-BE32-E72D297353CC}">
              <c16:uniqueId val="{00000000-B8A1-4644-99CF-F61122B6C04C}"/>
            </c:ext>
          </c:extLst>
        </c:ser>
        <c:ser>
          <c:idx val="1"/>
          <c:order val="1"/>
          <c:tx>
            <c:strRef>
              <c:f>'[240702 Green Plan Delivery Plan V3.1 copy with workstream graphs v2.xlsx]Sheet1'!$AB$180</c:f>
              <c:strCache>
                <c:ptCount val="1"/>
                <c:pt idx="0">
                  <c:v>Decarbonised heat</c:v>
                </c:pt>
              </c:strCache>
            </c:strRef>
          </c:tx>
          <c:spPr>
            <a:solidFill>
              <a:schemeClr val="accent2"/>
            </a:solidFill>
            <a:ln w="25400">
              <a:noFill/>
            </a:ln>
            <a:effectLst/>
          </c:spPr>
          <c:cat>
            <c:strRef>
              <c:f>'C:\Users\nb13657\Desktop\[240521 Green Plan Delivery Plan V3.1 TEST carbon reduction.xlsx]Sheet1'!$N$3:$AA$3</c:f>
              <c:strCache>
                <c:ptCount val="14"/>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v2.xlsx]Sheet1'!$AC$180:$AQ$180</c:f>
              <c:numCache>
                <c:formatCode>#,##0</c:formatCode>
                <c:ptCount val="15"/>
                <c:pt idx="0">
                  <c:v>24490</c:v>
                </c:pt>
                <c:pt idx="1">
                  <c:v>24490</c:v>
                </c:pt>
                <c:pt idx="2">
                  <c:v>24490</c:v>
                </c:pt>
                <c:pt idx="3">
                  <c:v>24490</c:v>
                </c:pt>
                <c:pt idx="4">
                  <c:v>24490</c:v>
                </c:pt>
                <c:pt idx="5">
                  <c:v>24490</c:v>
                </c:pt>
                <c:pt idx="6">
                  <c:v>24490</c:v>
                </c:pt>
                <c:pt idx="7">
                  <c:v>24490</c:v>
                </c:pt>
                <c:pt idx="8">
                  <c:v>24490</c:v>
                </c:pt>
                <c:pt idx="9">
                  <c:v>24490</c:v>
                </c:pt>
                <c:pt idx="10">
                  <c:v>0</c:v>
                </c:pt>
                <c:pt idx="11" formatCode="General">
                  <c:v>0</c:v>
                </c:pt>
                <c:pt idx="12" formatCode="General">
                  <c:v>0</c:v>
                </c:pt>
                <c:pt idx="13" formatCode="General">
                  <c:v>0</c:v>
                </c:pt>
                <c:pt idx="14" formatCode="General">
                  <c:v>0</c:v>
                </c:pt>
              </c:numCache>
            </c:numRef>
          </c:val>
          <c:extLst>
            <c:ext xmlns:c16="http://schemas.microsoft.com/office/drawing/2014/chart" uri="{C3380CC4-5D6E-409C-BE32-E72D297353CC}">
              <c16:uniqueId val="{00000001-B8A1-4644-99CF-F61122B6C04C}"/>
            </c:ext>
          </c:extLst>
        </c:ser>
        <c:ser>
          <c:idx val="2"/>
          <c:order val="2"/>
          <c:tx>
            <c:strRef>
              <c:f>'[240702 Green Plan Delivery Plan V3.1 copy with workstream graphs v2.xlsx]Sheet1'!$AB$191</c:f>
              <c:strCache>
                <c:ptCount val="1"/>
                <c:pt idx="0">
                  <c:v>Use of HV Oil in generators</c:v>
                </c:pt>
              </c:strCache>
            </c:strRef>
          </c:tx>
          <c:spPr>
            <a:solidFill>
              <a:schemeClr val="accent3"/>
            </a:solidFill>
            <a:ln w="25400">
              <a:noFill/>
            </a:ln>
            <a:effectLst/>
          </c:spPr>
          <c:val>
            <c:numRef>
              <c:f>'[240702 Green Plan Delivery Plan V3.1 copy with workstream graphs v2.xlsx]Sheet1'!$AD$191:$AQ$191</c:f>
              <c:numCache>
                <c:formatCode>General</c:formatCode>
                <c:ptCount val="14"/>
                <c:pt idx="0">
                  <c:v>590</c:v>
                </c:pt>
                <c:pt idx="1">
                  <c:v>590</c:v>
                </c:pt>
                <c:pt idx="2">
                  <c:v>590</c:v>
                </c:pt>
                <c:pt idx="3">
                  <c:v>118</c:v>
                </c:pt>
                <c:pt idx="4">
                  <c:v>118</c:v>
                </c:pt>
                <c:pt idx="5">
                  <c:v>118</c:v>
                </c:pt>
                <c:pt idx="6">
                  <c:v>118</c:v>
                </c:pt>
                <c:pt idx="7">
                  <c:v>118</c:v>
                </c:pt>
                <c:pt idx="8">
                  <c:v>118</c:v>
                </c:pt>
                <c:pt idx="9">
                  <c:v>118</c:v>
                </c:pt>
                <c:pt idx="10">
                  <c:v>118</c:v>
                </c:pt>
                <c:pt idx="11">
                  <c:v>118</c:v>
                </c:pt>
                <c:pt idx="12">
                  <c:v>118</c:v>
                </c:pt>
                <c:pt idx="13">
                  <c:v>118</c:v>
                </c:pt>
              </c:numCache>
            </c:numRef>
          </c:val>
          <c:extLst>
            <c:ext xmlns:c16="http://schemas.microsoft.com/office/drawing/2014/chart" uri="{C3380CC4-5D6E-409C-BE32-E72D297353CC}">
              <c16:uniqueId val="{00000002-B8A1-4644-99CF-F61122B6C04C}"/>
            </c:ext>
          </c:extLst>
        </c:ser>
        <c:ser>
          <c:idx val="3"/>
          <c:order val="3"/>
          <c:tx>
            <c:strRef>
              <c:f>'[240702 Green Plan Delivery Plan V3.1 copy with workstream graphs v2.xlsx]Sheet1'!$AB$200</c:f>
              <c:strCache>
                <c:ptCount val="1"/>
                <c:pt idx="0">
                  <c:v>ICS Standard building specification implemented</c:v>
                </c:pt>
              </c:strCache>
            </c:strRef>
          </c:tx>
          <c:spPr>
            <a:solidFill>
              <a:schemeClr val="accent4"/>
            </a:solidFill>
            <a:ln w="25400">
              <a:noFill/>
            </a:ln>
            <a:effectLst/>
          </c:spPr>
          <c:val>
            <c:numRef>
              <c:f>'[240702 Green Plan Delivery Plan V3.1 copy with workstream graphs v2.xlsx]Sheet1'!$AD$200:$AQ$200</c:f>
              <c:numCache>
                <c:formatCode>General</c:formatCode>
                <c:ptCount val="14"/>
                <c:pt idx="0">
                  <c:v>25430</c:v>
                </c:pt>
                <c:pt idx="1">
                  <c:v>25430</c:v>
                </c:pt>
                <c:pt idx="2">
                  <c:v>25430</c:v>
                </c:pt>
                <c:pt idx="3">
                  <c:v>25430</c:v>
                </c:pt>
                <c:pt idx="4">
                  <c:v>25430</c:v>
                </c:pt>
                <c:pt idx="5">
                  <c:v>20344</c:v>
                </c:pt>
                <c:pt idx="6">
                  <c:v>20344</c:v>
                </c:pt>
                <c:pt idx="7">
                  <c:v>15258</c:v>
                </c:pt>
                <c:pt idx="8">
                  <c:v>15258</c:v>
                </c:pt>
                <c:pt idx="9">
                  <c:v>10172</c:v>
                </c:pt>
                <c:pt idx="10">
                  <c:v>10172</c:v>
                </c:pt>
                <c:pt idx="11">
                  <c:v>5086</c:v>
                </c:pt>
                <c:pt idx="12">
                  <c:v>5086</c:v>
                </c:pt>
                <c:pt idx="13">
                  <c:v>0</c:v>
                </c:pt>
              </c:numCache>
            </c:numRef>
          </c:val>
          <c:extLst>
            <c:ext xmlns:c16="http://schemas.microsoft.com/office/drawing/2014/chart" uri="{C3380CC4-5D6E-409C-BE32-E72D297353CC}">
              <c16:uniqueId val="{00000003-B8A1-4644-99CF-F61122B6C04C}"/>
            </c:ext>
          </c:extLst>
        </c:ser>
        <c:ser>
          <c:idx val="4"/>
          <c:order val="4"/>
          <c:tx>
            <c:strRef>
              <c:f>'[240702 Green Plan Delivery Plan V3.1 copy with workstream graphs v2.xlsx]Sheet1'!$AB$214</c:f>
              <c:strCache>
                <c:ptCount val="1"/>
                <c:pt idx="0">
                  <c:v>Energy efficiency improvements</c:v>
                </c:pt>
              </c:strCache>
            </c:strRef>
          </c:tx>
          <c:spPr>
            <a:solidFill>
              <a:schemeClr val="accent5"/>
            </a:solidFill>
            <a:ln w="25400">
              <a:noFill/>
            </a:ln>
            <a:effectLst/>
          </c:spPr>
          <c:val>
            <c:numRef>
              <c:f>'[240702 Green Plan Delivery Plan V3.1 copy with workstream graphs v2.xlsx]Sheet1'!$AD$214:$AQ$214</c:f>
              <c:numCache>
                <c:formatCode>General</c:formatCode>
                <c:ptCount val="14"/>
                <c:pt idx="0">
                  <c:v>25470</c:v>
                </c:pt>
                <c:pt idx="1">
                  <c:v>25470</c:v>
                </c:pt>
                <c:pt idx="2" formatCode="#,##0">
                  <c:v>25470</c:v>
                </c:pt>
                <c:pt idx="3" formatCode="#,##0">
                  <c:v>24196.5</c:v>
                </c:pt>
                <c:pt idx="4" formatCode="#,##0">
                  <c:v>24196.5</c:v>
                </c:pt>
                <c:pt idx="5" formatCode="#,##0">
                  <c:v>16555.5</c:v>
                </c:pt>
                <c:pt idx="6" formatCode="#,##0">
                  <c:v>16555.5</c:v>
                </c:pt>
                <c:pt idx="7" formatCode="#,##0">
                  <c:v>11461.5</c:v>
                </c:pt>
                <c:pt idx="8" formatCode="#,##0">
                  <c:v>11461.5</c:v>
                </c:pt>
                <c:pt idx="9" formatCode="#,##0">
                  <c:v>5094</c:v>
                </c:pt>
                <c:pt idx="10" formatCode="#,##0">
                  <c:v>5094</c:v>
                </c:pt>
                <c:pt idx="11" formatCode="#,##0">
                  <c:v>5094</c:v>
                </c:pt>
                <c:pt idx="12" formatCode="#,##0">
                  <c:v>5094</c:v>
                </c:pt>
                <c:pt idx="13" formatCode="#,##0">
                  <c:v>5094</c:v>
                </c:pt>
              </c:numCache>
            </c:numRef>
          </c:val>
          <c:extLst>
            <c:ext xmlns:c16="http://schemas.microsoft.com/office/drawing/2014/chart" uri="{C3380CC4-5D6E-409C-BE32-E72D297353CC}">
              <c16:uniqueId val="{00000004-B8A1-4644-99CF-F61122B6C04C}"/>
            </c:ext>
          </c:extLst>
        </c:ser>
        <c:ser>
          <c:idx val="5"/>
          <c:order val="5"/>
          <c:tx>
            <c:strRef>
              <c:f>'[240702 Green Plan Delivery Plan V3.1 copy with workstream graphs v2.xlsx]Sheet1'!$AB$220</c:f>
              <c:strCache>
                <c:ptCount val="1"/>
                <c:pt idx="0">
                  <c:v>Water</c:v>
                </c:pt>
              </c:strCache>
            </c:strRef>
          </c:tx>
          <c:spPr>
            <a:solidFill>
              <a:schemeClr val="accent6"/>
            </a:solidFill>
            <a:ln w="25400">
              <a:noFill/>
            </a:ln>
            <a:effectLst/>
          </c:spPr>
          <c:val>
            <c:numRef>
              <c:f>'[240702 Green Plan Delivery Plan V3.1 copy with workstream graphs v2.xlsx]Sheet1'!$AD$220:$AQ$220</c:f>
              <c:numCache>
                <c:formatCode>General</c:formatCode>
                <c:ptCount val="14"/>
                <c:pt idx="0">
                  <c:v>73</c:v>
                </c:pt>
                <c:pt idx="1">
                  <c:v>73</c:v>
                </c:pt>
                <c:pt idx="2">
                  <c:v>73</c:v>
                </c:pt>
                <c:pt idx="3">
                  <c:v>73</c:v>
                </c:pt>
                <c:pt idx="4">
                  <c:v>73</c:v>
                </c:pt>
                <c:pt idx="5">
                  <c:v>73</c:v>
                </c:pt>
                <c:pt idx="6">
                  <c:v>73</c:v>
                </c:pt>
                <c:pt idx="7">
                  <c:v>73</c:v>
                </c:pt>
                <c:pt idx="8">
                  <c:v>73</c:v>
                </c:pt>
                <c:pt idx="9">
                  <c:v>73</c:v>
                </c:pt>
                <c:pt idx="10">
                  <c:v>73</c:v>
                </c:pt>
                <c:pt idx="11">
                  <c:v>73</c:v>
                </c:pt>
                <c:pt idx="12">
                  <c:v>73</c:v>
                </c:pt>
                <c:pt idx="13">
                  <c:v>73</c:v>
                </c:pt>
              </c:numCache>
            </c:numRef>
          </c:val>
          <c:extLst>
            <c:ext xmlns:c16="http://schemas.microsoft.com/office/drawing/2014/chart" uri="{C3380CC4-5D6E-409C-BE32-E72D297353CC}">
              <c16:uniqueId val="{00000005-B8A1-4644-99CF-F61122B6C04C}"/>
            </c:ext>
          </c:extLst>
        </c:ser>
        <c:dLbls>
          <c:showLegendKey val="0"/>
          <c:showVal val="0"/>
          <c:showCatName val="0"/>
          <c:showSerName val="0"/>
          <c:showPercent val="0"/>
          <c:showBubbleSize val="0"/>
        </c:dLbls>
        <c:axId val="1728094000"/>
        <c:axId val="309636176"/>
      </c:areaChart>
      <c:lineChart>
        <c:grouping val="standard"/>
        <c:varyColors val="0"/>
        <c:ser>
          <c:idx val="6"/>
          <c:order val="6"/>
          <c:tx>
            <c:v>Unfunded trajectory</c:v>
          </c:tx>
          <c:spPr>
            <a:ln w="28575" cap="rnd">
              <a:solidFill>
                <a:schemeClr val="accent1">
                  <a:lumMod val="60000"/>
                </a:schemeClr>
              </a:solidFill>
              <a:round/>
            </a:ln>
            <a:effectLst/>
          </c:spPr>
          <c:marker>
            <c:symbol val="none"/>
          </c:marker>
          <c:val>
            <c:numRef>
              <c:f>'[240702 Green Plan Delivery Plan V3.1 copy with workstream graphs v2.xlsx]Sheet1'!$AD$167:$AQ$167</c:f>
              <c:numCache>
                <c:formatCode>General</c:formatCode>
                <c:ptCount val="14"/>
                <c:pt idx="0">
                  <c:v>76710</c:v>
                </c:pt>
                <c:pt idx="1">
                  <c:v>76710</c:v>
                </c:pt>
                <c:pt idx="2">
                  <c:v>76710</c:v>
                </c:pt>
                <c:pt idx="3">
                  <c:v>76238</c:v>
                </c:pt>
                <c:pt idx="4">
                  <c:v>76238</c:v>
                </c:pt>
                <c:pt idx="5">
                  <c:v>71152</c:v>
                </c:pt>
                <c:pt idx="6">
                  <c:v>71152</c:v>
                </c:pt>
                <c:pt idx="7">
                  <c:v>66066</c:v>
                </c:pt>
                <c:pt idx="8">
                  <c:v>66066</c:v>
                </c:pt>
                <c:pt idx="9">
                  <c:v>60980</c:v>
                </c:pt>
                <c:pt idx="10">
                  <c:v>60980</c:v>
                </c:pt>
                <c:pt idx="11">
                  <c:v>55894</c:v>
                </c:pt>
                <c:pt idx="12">
                  <c:v>55894</c:v>
                </c:pt>
                <c:pt idx="13">
                  <c:v>50808</c:v>
                </c:pt>
              </c:numCache>
            </c:numRef>
          </c:val>
          <c:smooth val="0"/>
          <c:extLst>
            <c:ext xmlns:c16="http://schemas.microsoft.com/office/drawing/2014/chart" uri="{C3380CC4-5D6E-409C-BE32-E72D297353CC}">
              <c16:uniqueId val="{00000006-B8A1-4644-99CF-F61122B6C04C}"/>
            </c:ext>
          </c:extLst>
        </c:ser>
        <c:dLbls>
          <c:showLegendKey val="0"/>
          <c:showVal val="0"/>
          <c:showCatName val="0"/>
          <c:showSerName val="0"/>
          <c:showPercent val="0"/>
          <c:showBubbleSize val="0"/>
        </c:dLbls>
        <c:marker val="1"/>
        <c:smooth val="0"/>
        <c:axId val="1728094000"/>
        <c:axId val="309636176"/>
      </c:lineChart>
      <c:catAx>
        <c:axId val="172809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8499434834898142"/>
              <c:y val="0.910611038990998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36176"/>
        <c:crosses val="autoZero"/>
        <c:auto val="1"/>
        <c:lblAlgn val="ctr"/>
        <c:lblOffset val="100"/>
        <c:noMultiLvlLbl val="0"/>
      </c:catAx>
      <c:valAx>
        <c:axId val="30963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Tonnes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094000"/>
        <c:crosses val="autoZero"/>
        <c:crossBetween val="between"/>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76431840778339488"/>
          <c:y val="2.8375058150553932E-2"/>
          <c:w val="0.23320594792116808"/>
          <c:h val="0.910503971467461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 trajectory</a:t>
            </a:r>
          </a:p>
        </c:rich>
      </c:tx>
      <c:layout>
        <c:manualLayout>
          <c:xMode val="edge"/>
          <c:yMode val="edge"/>
          <c:x val="9.3925235911776914E-2"/>
          <c:y val="2.2277239011620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333962386933026E-2"/>
          <c:y val="6.2002303668875922E-2"/>
          <c:w val="0.72790964404242853"/>
          <c:h val="0.83396556480643214"/>
        </c:manualLayout>
      </c:layout>
      <c:areaChart>
        <c:grouping val="stacked"/>
        <c:varyColors val="0"/>
        <c:ser>
          <c:idx val="2"/>
          <c:order val="0"/>
          <c:tx>
            <c:strRef>
              <c:f>'[240702 Green Plan Delivery Plan V3.1 copy with workstream graphs v2.xlsx]Sheet1'!$AB$44</c:f>
              <c:strCache>
                <c:ptCount val="1"/>
                <c:pt idx="0">
                  <c:v>NHS Fleet</c:v>
                </c:pt>
              </c:strCache>
            </c:strRef>
          </c:tx>
          <c:spPr>
            <a:solidFill>
              <a:schemeClr val="accent3"/>
            </a:solidFill>
            <a:ln w="25400">
              <a:noFill/>
            </a:ln>
            <a:effectLst/>
          </c:spPr>
          <c:val>
            <c:numRef>
              <c:f>'[240702 Green Plan Delivery Plan V3.1 copy with workstream graphs v2.xlsx]Sheet1'!$AE$44:$AQ$44</c:f>
              <c:numCache>
                <c:formatCode>General</c:formatCode>
                <c:ptCount val="13"/>
                <c:pt idx="0">
                  <c:v>1310</c:v>
                </c:pt>
                <c:pt idx="1">
                  <c:v>1310</c:v>
                </c:pt>
                <c:pt idx="2">
                  <c:v>1179</c:v>
                </c:pt>
                <c:pt idx="3">
                  <c:v>1179</c:v>
                </c:pt>
                <c:pt idx="4">
                  <c:v>1179</c:v>
                </c:pt>
                <c:pt idx="5">
                  <c:v>1179</c:v>
                </c:pt>
                <c:pt idx="6">
                  <c:v>655</c:v>
                </c:pt>
                <c:pt idx="7">
                  <c:v>655</c:v>
                </c:pt>
                <c:pt idx="8">
                  <c:v>655</c:v>
                </c:pt>
                <c:pt idx="9">
                  <c:v>655</c:v>
                </c:pt>
                <c:pt idx="10">
                  <c:v>655</c:v>
                </c:pt>
                <c:pt idx="11" formatCode="#,##0">
                  <c:v>0</c:v>
                </c:pt>
                <c:pt idx="12" formatCode="#,##0">
                  <c:v>0</c:v>
                </c:pt>
              </c:numCache>
            </c:numRef>
          </c:val>
          <c:extLst>
            <c:ext xmlns:c16="http://schemas.microsoft.com/office/drawing/2014/chart" uri="{C3380CC4-5D6E-409C-BE32-E72D297353CC}">
              <c16:uniqueId val="{00000000-1630-4B7F-ABF3-43B8E6A5C4FA}"/>
            </c:ext>
          </c:extLst>
        </c:ser>
        <c:ser>
          <c:idx val="3"/>
          <c:order val="1"/>
          <c:tx>
            <c:strRef>
              <c:f>'[240702 Green Plan Delivery Plan V3.1 copy with workstream graphs v2.xlsx]Sheet1'!$AB$46</c:f>
              <c:strCache>
                <c:ptCount val="1"/>
                <c:pt idx="0">
                  <c:v>Staff commuting</c:v>
                </c:pt>
              </c:strCache>
            </c:strRef>
          </c:tx>
          <c:spPr>
            <a:solidFill>
              <a:schemeClr val="accent4"/>
            </a:solidFill>
            <a:ln w="25400">
              <a:noFill/>
            </a:ln>
            <a:effectLst/>
          </c:spPr>
          <c:val>
            <c:numRef>
              <c:f>'[240702 Green Plan Delivery Plan V3.1 copy with workstream graphs v2.xlsx]Sheet1'!$AE$46:$AQ$46</c:f>
              <c:numCache>
                <c:formatCode>General</c:formatCode>
                <c:ptCount val="13"/>
                <c:pt idx="0" formatCode="0">
                  <c:v>15350</c:v>
                </c:pt>
                <c:pt idx="1">
                  <c:v>15350</c:v>
                </c:pt>
                <c:pt idx="2" formatCode="0">
                  <c:v>15350</c:v>
                </c:pt>
                <c:pt idx="3">
                  <c:v>15350</c:v>
                </c:pt>
                <c:pt idx="4" formatCode="0">
                  <c:v>15350</c:v>
                </c:pt>
                <c:pt idx="5">
                  <c:v>15350</c:v>
                </c:pt>
                <c:pt idx="6" formatCode="0">
                  <c:v>15350</c:v>
                </c:pt>
                <c:pt idx="7">
                  <c:v>15350</c:v>
                </c:pt>
                <c:pt idx="8" formatCode="0">
                  <c:v>15350</c:v>
                </c:pt>
                <c:pt idx="9">
                  <c:v>15350</c:v>
                </c:pt>
                <c:pt idx="10" formatCode="0">
                  <c:v>15350</c:v>
                </c:pt>
                <c:pt idx="11" formatCode="0">
                  <c:v>15350</c:v>
                </c:pt>
                <c:pt idx="12" formatCode="#,##0">
                  <c:v>12280</c:v>
                </c:pt>
              </c:numCache>
            </c:numRef>
          </c:val>
          <c:extLst>
            <c:ext xmlns:c16="http://schemas.microsoft.com/office/drawing/2014/chart" uri="{C3380CC4-5D6E-409C-BE32-E72D297353CC}">
              <c16:uniqueId val="{00000001-1630-4B7F-ABF3-43B8E6A5C4FA}"/>
            </c:ext>
          </c:extLst>
        </c:ser>
        <c:ser>
          <c:idx val="4"/>
          <c:order val="2"/>
          <c:tx>
            <c:strRef>
              <c:f>'[240702 Green Plan Delivery Plan V3.1 copy with workstream graphs v2.xlsx]Sheet1'!$AB$52</c:f>
              <c:strCache>
                <c:ptCount val="1"/>
                <c:pt idx="0">
                  <c:v>Business Travel</c:v>
                </c:pt>
              </c:strCache>
            </c:strRef>
          </c:tx>
          <c:spPr>
            <a:solidFill>
              <a:schemeClr val="accent5"/>
            </a:solidFill>
            <a:ln w="25400">
              <a:noFill/>
            </a:ln>
            <a:effectLst/>
          </c:spPr>
          <c:val>
            <c:numRef>
              <c:f>'[240702 Green Plan Delivery Plan V3.1 copy with workstream graphs v2.xlsx]Sheet1'!$AE$52:$AQ$52</c:f>
              <c:numCache>
                <c:formatCode>General</c:formatCode>
                <c:ptCount val="13"/>
                <c:pt idx="0" formatCode="0">
                  <c:v>8460</c:v>
                </c:pt>
                <c:pt idx="1">
                  <c:v>8460</c:v>
                </c:pt>
                <c:pt idx="2" formatCode="0">
                  <c:v>8460</c:v>
                </c:pt>
                <c:pt idx="3">
                  <c:v>8460</c:v>
                </c:pt>
                <c:pt idx="4" formatCode="0">
                  <c:v>8460</c:v>
                </c:pt>
                <c:pt idx="5">
                  <c:v>8460</c:v>
                </c:pt>
                <c:pt idx="6" formatCode="0">
                  <c:v>8460</c:v>
                </c:pt>
                <c:pt idx="7">
                  <c:v>8460</c:v>
                </c:pt>
                <c:pt idx="8" formatCode="0">
                  <c:v>8460</c:v>
                </c:pt>
                <c:pt idx="9">
                  <c:v>8460</c:v>
                </c:pt>
                <c:pt idx="10" formatCode="0">
                  <c:v>8460</c:v>
                </c:pt>
                <c:pt idx="11" formatCode="0">
                  <c:v>8460</c:v>
                </c:pt>
                <c:pt idx="12" formatCode="#,##0">
                  <c:v>5390</c:v>
                </c:pt>
              </c:numCache>
            </c:numRef>
          </c:val>
          <c:extLst>
            <c:ext xmlns:c16="http://schemas.microsoft.com/office/drawing/2014/chart" uri="{C3380CC4-5D6E-409C-BE32-E72D297353CC}">
              <c16:uniqueId val="{00000002-1630-4B7F-ABF3-43B8E6A5C4FA}"/>
            </c:ext>
          </c:extLst>
        </c:ser>
        <c:ser>
          <c:idx val="1"/>
          <c:order val="3"/>
          <c:tx>
            <c:strRef>
              <c:f>'[240702 Green Plan Delivery Plan V3.1 copy with workstream graphs v2.xlsx]Sheet1'!$AB$60</c:f>
              <c:strCache>
                <c:ptCount val="1"/>
                <c:pt idx="0">
                  <c:v>Patient travel</c:v>
                </c:pt>
              </c:strCache>
            </c:strRef>
          </c:tx>
          <c:spPr>
            <a:solidFill>
              <a:schemeClr val="accent2"/>
            </a:solidFill>
            <a:ln w="25400">
              <a:noFill/>
            </a:ln>
            <a:effectLst/>
          </c:spPr>
          <c:cat>
            <c:strRef>
              <c:f>'C:\Users\nb13657\Desktop\[240521 Green Plan Delivery Plan V3.1 TEST carbon reduction.xlsx]Sheet1'!$N$3:$AA$3</c:f>
              <c:strCache>
                <c:ptCount val="14"/>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v2.xlsx]Sheet1'!$AE$60:$AQ$60</c:f>
              <c:numCache>
                <c:formatCode>0</c:formatCode>
                <c:ptCount val="13"/>
                <c:pt idx="0">
                  <c:v>20470</c:v>
                </c:pt>
                <c:pt idx="1">
                  <c:v>20470</c:v>
                </c:pt>
                <c:pt idx="2" formatCode="#,##0">
                  <c:v>17399.5</c:v>
                </c:pt>
                <c:pt idx="3">
                  <c:v>17399.5</c:v>
                </c:pt>
                <c:pt idx="4" formatCode="#,##0">
                  <c:v>17399.5</c:v>
                </c:pt>
                <c:pt idx="5">
                  <c:v>17399.5</c:v>
                </c:pt>
                <c:pt idx="6" formatCode="#,##0">
                  <c:v>17399.5</c:v>
                </c:pt>
                <c:pt idx="7">
                  <c:v>17399.5</c:v>
                </c:pt>
                <c:pt idx="8" formatCode="#,##0">
                  <c:v>17399.5</c:v>
                </c:pt>
                <c:pt idx="9">
                  <c:v>17399.5</c:v>
                </c:pt>
                <c:pt idx="10" formatCode="#,##0">
                  <c:v>17399.5</c:v>
                </c:pt>
                <c:pt idx="11" formatCode="#,##0">
                  <c:v>17399.5</c:v>
                </c:pt>
                <c:pt idx="12" formatCode="#,##0">
                  <c:v>11463.2</c:v>
                </c:pt>
              </c:numCache>
            </c:numRef>
          </c:val>
          <c:extLst>
            <c:ext xmlns:c16="http://schemas.microsoft.com/office/drawing/2014/chart" uri="{C3380CC4-5D6E-409C-BE32-E72D297353CC}">
              <c16:uniqueId val="{00000003-1630-4B7F-ABF3-43B8E6A5C4FA}"/>
            </c:ext>
          </c:extLst>
        </c:ser>
        <c:ser>
          <c:idx val="0"/>
          <c:order val="4"/>
          <c:tx>
            <c:strRef>
              <c:f>'[240702 Green Plan Delivery Plan V3.1 copy with workstream graphs v2.xlsx]Sheet1'!$AB$64</c:f>
              <c:strCache>
                <c:ptCount val="1"/>
                <c:pt idx="0">
                  <c:v>Visitor travel</c:v>
                </c:pt>
              </c:strCache>
            </c:strRef>
          </c:tx>
          <c:spPr>
            <a:solidFill>
              <a:schemeClr val="accent1"/>
            </a:solidFill>
            <a:ln w="25400">
              <a:noFill/>
            </a:ln>
            <a:effectLst/>
          </c:spPr>
          <c:cat>
            <c:strRef>
              <c:f>'C:\Users\nb13657\Desktop\[240521 Green Plan Delivery Plan V3.1 TEST carbon reduction.xlsx]Sheet1'!$N$3:$AA$3</c:f>
              <c:strCache>
                <c:ptCount val="14"/>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v2.xlsx]Sheet1'!$AE$64:$AQ$64</c:f>
              <c:numCache>
                <c:formatCode>General</c:formatCode>
                <c:ptCount val="13"/>
                <c:pt idx="0" formatCode="0">
                  <c:v>5980</c:v>
                </c:pt>
                <c:pt idx="1">
                  <c:v>5980</c:v>
                </c:pt>
                <c:pt idx="2" formatCode="0">
                  <c:v>5980</c:v>
                </c:pt>
                <c:pt idx="3">
                  <c:v>5980</c:v>
                </c:pt>
                <c:pt idx="4" formatCode="0">
                  <c:v>5980</c:v>
                </c:pt>
                <c:pt idx="5">
                  <c:v>5980</c:v>
                </c:pt>
                <c:pt idx="6" formatCode="0">
                  <c:v>5980</c:v>
                </c:pt>
                <c:pt idx="7">
                  <c:v>5980</c:v>
                </c:pt>
                <c:pt idx="8" formatCode="0">
                  <c:v>5980</c:v>
                </c:pt>
                <c:pt idx="9">
                  <c:v>5980</c:v>
                </c:pt>
                <c:pt idx="10" formatCode="0">
                  <c:v>5980</c:v>
                </c:pt>
                <c:pt idx="11" formatCode="0">
                  <c:v>5980</c:v>
                </c:pt>
                <c:pt idx="12" formatCode="0">
                  <c:v>4784</c:v>
                </c:pt>
              </c:numCache>
            </c:numRef>
          </c:val>
          <c:extLst>
            <c:ext xmlns:c16="http://schemas.microsoft.com/office/drawing/2014/chart" uri="{C3380CC4-5D6E-409C-BE32-E72D297353CC}">
              <c16:uniqueId val="{00000004-1630-4B7F-ABF3-43B8E6A5C4FA}"/>
            </c:ext>
          </c:extLst>
        </c:ser>
        <c:dLbls>
          <c:showLegendKey val="0"/>
          <c:showVal val="0"/>
          <c:showCatName val="0"/>
          <c:showSerName val="0"/>
          <c:showPercent val="0"/>
          <c:showBubbleSize val="0"/>
        </c:dLbls>
        <c:axId val="1728094000"/>
        <c:axId val="309636176"/>
      </c:areaChart>
      <c:catAx>
        <c:axId val="172809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8499434834898142"/>
              <c:y val="0.910611038990998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36176"/>
        <c:crosses val="autoZero"/>
        <c:auto val="1"/>
        <c:lblAlgn val="ctr"/>
        <c:lblOffset val="100"/>
        <c:noMultiLvlLbl val="0"/>
      </c:catAx>
      <c:valAx>
        <c:axId val="30963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Tonnes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094000"/>
        <c:crosses val="autoZero"/>
        <c:crossBetween val="midCat"/>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7444465552425561"/>
          <c:y val="2.5860244127560634E-3"/>
          <c:w val="0.25328691168356232"/>
          <c:h val="0.383519322130929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 trajectory</a:t>
            </a:r>
          </a:p>
        </c:rich>
      </c:tx>
      <c:layout>
        <c:manualLayout>
          <c:xMode val="edge"/>
          <c:yMode val="edge"/>
          <c:x val="9.3925235911776914E-2"/>
          <c:y val="2.2277239011620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7049210781158242E-2"/>
          <c:y val="5.1104644528129628E-2"/>
          <c:w val="0.80937577255469006"/>
          <c:h val="0.83396556480643214"/>
        </c:manualLayout>
      </c:layout>
      <c:areaChart>
        <c:grouping val="stacked"/>
        <c:varyColors val="0"/>
        <c:ser>
          <c:idx val="0"/>
          <c:order val="0"/>
          <c:tx>
            <c:strRef>
              <c:f>'[240702 Green Plan Delivery Plan V3.1 copy with workstream graphs v2.xlsx]Sheet1'!$AB$103</c:f>
              <c:strCache>
                <c:ptCount val="1"/>
                <c:pt idx="0">
                  <c:v>Unfunded further actions</c:v>
                </c:pt>
              </c:strCache>
            </c:strRef>
          </c:tx>
          <c:spPr>
            <a:solidFill>
              <a:schemeClr val="accent1"/>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v2.xlsx]Sheet1'!$AD$103:$AQ$103</c:f>
              <c:numCache>
                <c:formatCode>General</c:formatCode>
                <c:ptCount val="14"/>
                <c:pt idx="0">
                  <c:v>997</c:v>
                </c:pt>
                <c:pt idx="1">
                  <c:v>997</c:v>
                </c:pt>
                <c:pt idx="2">
                  <c:v>997</c:v>
                </c:pt>
                <c:pt idx="3">
                  <c:v>997</c:v>
                </c:pt>
                <c:pt idx="4">
                  <c:v>997</c:v>
                </c:pt>
                <c:pt idx="5">
                  <c:v>997</c:v>
                </c:pt>
                <c:pt idx="6">
                  <c:v>997</c:v>
                </c:pt>
                <c:pt idx="7">
                  <c:v>997</c:v>
                </c:pt>
                <c:pt idx="8">
                  <c:v>997</c:v>
                </c:pt>
                <c:pt idx="9">
                  <c:v>997</c:v>
                </c:pt>
                <c:pt idx="10">
                  <c:v>997</c:v>
                </c:pt>
                <c:pt idx="11">
                  <c:v>997</c:v>
                </c:pt>
                <c:pt idx="12">
                  <c:v>997</c:v>
                </c:pt>
                <c:pt idx="13">
                  <c:v>997</c:v>
                </c:pt>
              </c:numCache>
            </c:numRef>
          </c:val>
          <c:extLst>
            <c:ext xmlns:c16="http://schemas.microsoft.com/office/drawing/2014/chart" uri="{C3380CC4-5D6E-409C-BE32-E72D297353CC}">
              <c16:uniqueId val="{00000000-C276-459A-800E-FDD0AD691702}"/>
            </c:ext>
          </c:extLst>
        </c:ser>
        <c:ser>
          <c:idx val="2"/>
          <c:order val="1"/>
          <c:tx>
            <c:strRef>
              <c:f>'[240702 Green Plan Delivery Plan V3.1 copy with workstream graphs v2.xlsx]Sheet1'!$AB$68</c:f>
              <c:strCache>
                <c:ptCount val="1"/>
                <c:pt idx="0">
                  <c:v>Behaviour change improving segragation</c:v>
                </c:pt>
              </c:strCache>
            </c:strRef>
          </c:tx>
          <c:spPr>
            <a:solidFill>
              <a:schemeClr val="accent3"/>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v2.xlsx]Sheet1'!$AD$68:$AQ$68</c:f>
              <c:numCache>
                <c:formatCode>General</c:formatCode>
                <c:ptCount val="14"/>
                <c:pt idx="0">
                  <c:v>302</c:v>
                </c:pt>
                <c:pt idx="1">
                  <c:v>302</c:v>
                </c:pt>
                <c:pt idx="2">
                  <c:v>302</c:v>
                </c:pt>
                <c:pt idx="3">
                  <c:v>302</c:v>
                </c:pt>
                <c:pt idx="4">
                  <c:v>151</c:v>
                </c:pt>
                <c:pt idx="5">
                  <c:v>151</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C276-459A-800E-FDD0AD691702}"/>
            </c:ext>
          </c:extLst>
        </c:ser>
        <c:ser>
          <c:idx val="3"/>
          <c:order val="2"/>
          <c:tx>
            <c:strRef>
              <c:f>'[240702 Green Plan Delivery Plan V3.1 copy with workstream graphs v2.xlsx]Sheet1'!$AB$77</c:f>
              <c:strCache>
                <c:ptCount val="1"/>
                <c:pt idx="0">
                  <c:v>zero waste to Landfill</c:v>
                </c:pt>
              </c:strCache>
            </c:strRef>
          </c:tx>
          <c:spPr>
            <a:solidFill>
              <a:schemeClr val="accent4"/>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v2.xlsx]Sheet1'!$AD$77:$AQ$77</c:f>
              <c:numCache>
                <c:formatCode>General</c:formatCode>
                <c:ptCount val="14"/>
                <c:pt idx="0">
                  <c:v>211.40000000000003</c:v>
                </c:pt>
                <c:pt idx="1">
                  <c:v>211.40000000000003</c:v>
                </c:pt>
                <c:pt idx="2">
                  <c:v>211.40000000000003</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2-C276-459A-800E-FDD0AD691702}"/>
            </c:ext>
          </c:extLst>
        </c:ser>
        <c:ser>
          <c:idx val="4"/>
          <c:order val="3"/>
          <c:tx>
            <c:strRef>
              <c:f>'[240702 Green Plan Delivery Plan V3.1 copy with workstream graphs v2.xlsx]Sheet1'!$AB$81</c:f>
              <c:strCache>
                <c:ptCount val="1"/>
                <c:pt idx="0">
                  <c:v>Clinical waste strategy</c:v>
                </c:pt>
              </c:strCache>
            </c:strRef>
          </c:tx>
          <c:spPr>
            <a:solidFill>
              <a:schemeClr val="accent5"/>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v2.xlsx]Sheet1'!$AD$81:$AQ$81</c:f>
              <c:numCache>
                <c:formatCode>General</c:formatCode>
                <c:ptCount val="14"/>
                <c:pt idx="0">
                  <c:v>906</c:v>
                </c:pt>
                <c:pt idx="1">
                  <c:v>906</c:v>
                </c:pt>
                <c:pt idx="2">
                  <c:v>906</c:v>
                </c:pt>
                <c:pt idx="3">
                  <c:v>906</c:v>
                </c:pt>
                <c:pt idx="4">
                  <c:v>906</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3-C276-459A-800E-FDD0AD691702}"/>
            </c:ext>
          </c:extLst>
        </c:ser>
        <c:ser>
          <c:idx val="1"/>
          <c:order val="4"/>
          <c:tx>
            <c:strRef>
              <c:f>'[240702 Green Plan Delivery Plan V3.1 copy with workstream graphs v2.xlsx]Sheet1'!$AB$97</c:f>
              <c:strCache>
                <c:ptCount val="1"/>
                <c:pt idx="0">
                  <c:v>Increased recycling</c:v>
                </c:pt>
              </c:strCache>
            </c:strRef>
          </c:tx>
          <c:spPr>
            <a:solidFill>
              <a:schemeClr val="accent2"/>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v2.xlsx]Sheet1'!$AD$97:$AQ$97</c:f>
              <c:numCache>
                <c:formatCode>General</c:formatCode>
                <c:ptCount val="14"/>
                <c:pt idx="0">
                  <c:v>604</c:v>
                </c:pt>
                <c:pt idx="1">
                  <c:v>604</c:v>
                </c:pt>
                <c:pt idx="2">
                  <c:v>604</c:v>
                </c:pt>
                <c:pt idx="3">
                  <c:v>604</c:v>
                </c:pt>
                <c:pt idx="4">
                  <c:v>604</c:v>
                </c:pt>
                <c:pt idx="5" formatCode="0">
                  <c:v>241.60000000000002</c:v>
                </c:pt>
                <c:pt idx="6">
                  <c:v>242</c:v>
                </c:pt>
                <c:pt idx="7">
                  <c:v>242</c:v>
                </c:pt>
                <c:pt idx="8">
                  <c:v>242</c:v>
                </c:pt>
                <c:pt idx="9" formatCode="0">
                  <c:v>120.80000000000001</c:v>
                </c:pt>
                <c:pt idx="10">
                  <c:v>120.80000000000001</c:v>
                </c:pt>
                <c:pt idx="11">
                  <c:v>120.80000000000001</c:v>
                </c:pt>
                <c:pt idx="12">
                  <c:v>120.80000000000001</c:v>
                </c:pt>
                <c:pt idx="13">
                  <c:v>0</c:v>
                </c:pt>
              </c:numCache>
            </c:numRef>
          </c:val>
          <c:extLst>
            <c:ext xmlns:c16="http://schemas.microsoft.com/office/drawing/2014/chart" uri="{C3380CC4-5D6E-409C-BE32-E72D297353CC}">
              <c16:uniqueId val="{00000004-C276-459A-800E-FDD0AD691702}"/>
            </c:ext>
          </c:extLst>
        </c:ser>
        <c:dLbls>
          <c:showLegendKey val="0"/>
          <c:showVal val="0"/>
          <c:showCatName val="0"/>
          <c:showSerName val="0"/>
          <c:showPercent val="0"/>
          <c:showBubbleSize val="0"/>
        </c:dLbls>
        <c:axId val="1728094000"/>
        <c:axId val="309636176"/>
      </c:areaChart>
      <c:catAx>
        <c:axId val="172809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8499434834898142"/>
              <c:y val="0.910611038990998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36176"/>
        <c:crosses val="autoZero"/>
        <c:auto val="1"/>
        <c:lblAlgn val="ctr"/>
        <c:lblOffset val="100"/>
        <c:noMultiLvlLbl val="0"/>
      </c:catAx>
      <c:valAx>
        <c:axId val="30963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Tonnes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094000"/>
        <c:crosses val="autoZero"/>
        <c:crossBetween val="midCat"/>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73413657342707539"/>
          <c:y val="5.1626655105764196E-2"/>
          <c:w val="0.25328691168356232"/>
          <c:h val="0.575384634957084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 trajectory</a:t>
            </a:r>
          </a:p>
        </c:rich>
      </c:tx>
      <c:layout>
        <c:manualLayout>
          <c:xMode val="edge"/>
          <c:yMode val="edge"/>
          <c:x val="9.3925235911776914E-2"/>
          <c:y val="2.2277239011620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152195702688654E-2"/>
          <c:y val="7.8448651365387853E-2"/>
          <c:w val="0.80937577255469006"/>
          <c:h val="0.83396556480643214"/>
        </c:manualLayout>
      </c:layout>
      <c:areaChart>
        <c:grouping val="stacked"/>
        <c:varyColors val="0"/>
        <c:ser>
          <c:idx val="0"/>
          <c:order val="0"/>
          <c:tx>
            <c:strRef>
              <c:f>'[240702 Green Plan Delivery Plan V3.1 copy with workstream graphs v2.xlsx]Sheet1'!$AB$107</c:f>
              <c:strCache>
                <c:ptCount val="1"/>
                <c:pt idx="0">
                  <c:v>Unfunded further actions</c:v>
                </c:pt>
              </c:strCache>
            </c:strRef>
          </c:tx>
          <c:spPr>
            <a:solidFill>
              <a:schemeClr val="accent1"/>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v2.xlsx]Sheet1'!$AD$107:$AQ$107</c:f>
              <c:numCache>
                <c:formatCode>General</c:formatCode>
                <c:ptCount val="14"/>
                <c:pt idx="0">
                  <c:v>41828</c:v>
                </c:pt>
                <c:pt idx="1">
                  <c:v>41828</c:v>
                </c:pt>
                <c:pt idx="2">
                  <c:v>41828</c:v>
                </c:pt>
                <c:pt idx="3">
                  <c:v>41828</c:v>
                </c:pt>
                <c:pt idx="4">
                  <c:v>41828</c:v>
                </c:pt>
                <c:pt idx="5">
                  <c:v>41828</c:v>
                </c:pt>
                <c:pt idx="6">
                  <c:v>41828</c:v>
                </c:pt>
                <c:pt idx="7">
                  <c:v>41828</c:v>
                </c:pt>
                <c:pt idx="8">
                  <c:v>41828</c:v>
                </c:pt>
                <c:pt idx="9">
                  <c:v>41828</c:v>
                </c:pt>
                <c:pt idx="10">
                  <c:v>41828</c:v>
                </c:pt>
                <c:pt idx="11">
                  <c:v>41828</c:v>
                </c:pt>
                <c:pt idx="12">
                  <c:v>41828</c:v>
                </c:pt>
                <c:pt idx="13">
                  <c:v>41828</c:v>
                </c:pt>
              </c:numCache>
            </c:numRef>
          </c:val>
          <c:extLst>
            <c:ext xmlns:c16="http://schemas.microsoft.com/office/drawing/2014/chart" uri="{C3380CC4-5D6E-409C-BE32-E72D297353CC}">
              <c16:uniqueId val="{00000000-455D-4E76-AE3B-BFF3B97C6613}"/>
            </c:ext>
          </c:extLst>
        </c:ser>
        <c:ser>
          <c:idx val="3"/>
          <c:order val="1"/>
          <c:tx>
            <c:strRef>
              <c:f>'[240702 Green Plan Delivery Plan V3.1 copy with workstream graphs v2.xlsx]Sheet1'!$AB$112</c:f>
              <c:strCache>
                <c:ptCount val="1"/>
                <c:pt idx="0">
                  <c:v>Suppliers implementing Carbon Reduction Plans</c:v>
                </c:pt>
              </c:strCache>
            </c:strRef>
          </c:tx>
          <c:spPr>
            <a:solidFill>
              <a:schemeClr val="accent4"/>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v2.xlsx]Sheet1'!$AD$112:$AQ$112</c:f>
              <c:numCache>
                <c:formatCode>General</c:formatCode>
                <c:ptCount val="14"/>
                <c:pt idx="0">
                  <c:v>70749</c:v>
                </c:pt>
                <c:pt idx="1">
                  <c:v>70749</c:v>
                </c:pt>
                <c:pt idx="2">
                  <c:v>70749</c:v>
                </c:pt>
                <c:pt idx="3">
                  <c:v>70749</c:v>
                </c:pt>
                <c:pt idx="4">
                  <c:v>70749</c:v>
                </c:pt>
                <c:pt idx="5">
                  <c:v>70749</c:v>
                </c:pt>
                <c:pt idx="6">
                  <c:v>70749</c:v>
                </c:pt>
                <c:pt idx="7">
                  <c:v>53061.75</c:v>
                </c:pt>
                <c:pt idx="8">
                  <c:v>53061.75</c:v>
                </c:pt>
                <c:pt idx="9" formatCode="#,##0">
                  <c:v>35374.5</c:v>
                </c:pt>
                <c:pt idx="10" formatCode="#,##0">
                  <c:v>35374.5</c:v>
                </c:pt>
                <c:pt idx="11" formatCode="#,##0">
                  <c:v>17687.25</c:v>
                </c:pt>
                <c:pt idx="12" formatCode="#,##0">
                  <c:v>17687.25</c:v>
                </c:pt>
                <c:pt idx="13" formatCode="#,##0">
                  <c:v>0</c:v>
                </c:pt>
              </c:numCache>
            </c:numRef>
          </c:val>
          <c:extLst>
            <c:ext xmlns:c16="http://schemas.microsoft.com/office/drawing/2014/chart" uri="{C3380CC4-5D6E-409C-BE32-E72D297353CC}">
              <c16:uniqueId val="{00000001-455D-4E76-AE3B-BFF3B97C6613}"/>
            </c:ext>
          </c:extLst>
        </c:ser>
        <c:ser>
          <c:idx val="2"/>
          <c:order val="2"/>
          <c:tx>
            <c:strRef>
              <c:f>'[240702 Green Plan Delivery Plan V3.1 copy with workstream graphs v2.xlsx]Sheet1'!$AB$108</c:f>
              <c:strCache>
                <c:ptCount val="1"/>
                <c:pt idx="0">
                  <c:v>Decarbonisation of Grid</c:v>
                </c:pt>
              </c:strCache>
            </c:strRef>
          </c:tx>
          <c:spPr>
            <a:solidFill>
              <a:schemeClr val="accent3"/>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v2.xlsx]Sheet1'!$AD$108:$AQ$108</c:f>
              <c:numCache>
                <c:formatCode>General</c:formatCode>
                <c:ptCount val="14"/>
                <c:pt idx="0">
                  <c:v>28300</c:v>
                </c:pt>
                <c:pt idx="1">
                  <c:v>28300</c:v>
                </c:pt>
                <c:pt idx="2">
                  <c:v>28300</c:v>
                </c:pt>
                <c:pt idx="3">
                  <c:v>23583</c:v>
                </c:pt>
                <c:pt idx="4">
                  <c:v>23583</c:v>
                </c:pt>
                <c:pt idx="5">
                  <c:v>18866</c:v>
                </c:pt>
                <c:pt idx="6">
                  <c:v>18866</c:v>
                </c:pt>
                <c:pt idx="7">
                  <c:v>14149</c:v>
                </c:pt>
                <c:pt idx="8">
                  <c:v>14149</c:v>
                </c:pt>
                <c:pt idx="9">
                  <c:v>9432</c:v>
                </c:pt>
                <c:pt idx="10">
                  <c:v>9432</c:v>
                </c:pt>
                <c:pt idx="11">
                  <c:v>4715</c:v>
                </c:pt>
                <c:pt idx="12">
                  <c:v>4715</c:v>
                </c:pt>
                <c:pt idx="13" formatCode="#,##0">
                  <c:v>0</c:v>
                </c:pt>
              </c:numCache>
            </c:numRef>
          </c:val>
          <c:extLst>
            <c:ext xmlns:c16="http://schemas.microsoft.com/office/drawing/2014/chart" uri="{C3380CC4-5D6E-409C-BE32-E72D297353CC}">
              <c16:uniqueId val="{00000002-455D-4E76-AE3B-BFF3B97C6613}"/>
            </c:ext>
          </c:extLst>
        </c:ser>
        <c:ser>
          <c:idx val="4"/>
          <c:order val="3"/>
          <c:tx>
            <c:strRef>
              <c:f>'[240702 Green Plan Delivery Plan V3.1 copy with workstream graphs v2.xlsx]Sheet1'!$AB$123</c:f>
              <c:strCache>
                <c:ptCount val="1"/>
                <c:pt idx="0">
                  <c:v>Carbon training impact</c:v>
                </c:pt>
              </c:strCache>
            </c:strRef>
          </c:tx>
          <c:spPr>
            <a:solidFill>
              <a:schemeClr val="accent5"/>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v2.xlsx]Sheet1'!$AD$123:$AQ$123</c:f>
              <c:numCache>
                <c:formatCode>General</c:formatCode>
                <c:ptCount val="14"/>
                <c:pt idx="0">
                  <c:v>7861</c:v>
                </c:pt>
                <c:pt idx="1">
                  <c:v>7861</c:v>
                </c:pt>
                <c:pt idx="2">
                  <c:v>7861</c:v>
                </c:pt>
                <c:pt idx="3" formatCode="#,##0">
                  <c:v>0</c:v>
                </c:pt>
                <c:pt idx="4" formatCode="#,##0">
                  <c:v>0</c:v>
                </c:pt>
                <c:pt idx="5" formatCode="#,##0">
                  <c:v>0</c:v>
                </c:pt>
                <c:pt idx="6" formatCode="#,##0">
                  <c:v>0</c:v>
                </c:pt>
                <c:pt idx="7" formatCode="#,##0">
                  <c:v>0</c:v>
                </c:pt>
                <c:pt idx="8" formatCode="#,##0">
                  <c:v>0</c:v>
                </c:pt>
                <c:pt idx="9" formatCode="#,##0">
                  <c:v>0</c:v>
                </c:pt>
                <c:pt idx="10" formatCode="#,##0">
                  <c:v>0</c:v>
                </c:pt>
                <c:pt idx="11" formatCode="#,##0">
                  <c:v>0</c:v>
                </c:pt>
                <c:pt idx="12" formatCode="#,##0">
                  <c:v>0</c:v>
                </c:pt>
                <c:pt idx="13" formatCode="#,##0">
                  <c:v>0</c:v>
                </c:pt>
              </c:numCache>
            </c:numRef>
          </c:val>
          <c:extLst>
            <c:ext xmlns:c16="http://schemas.microsoft.com/office/drawing/2014/chart" uri="{C3380CC4-5D6E-409C-BE32-E72D297353CC}">
              <c16:uniqueId val="{00000003-455D-4E76-AE3B-BFF3B97C6613}"/>
            </c:ext>
          </c:extLst>
        </c:ser>
        <c:ser>
          <c:idx val="1"/>
          <c:order val="4"/>
          <c:tx>
            <c:strRef>
              <c:f>'[240702 Green Plan Delivery Plan V3.1 copy with workstream graphs v2.xlsx]Sheet1'!$AB$125</c:f>
              <c:strCache>
                <c:ptCount val="1"/>
                <c:pt idx="0">
                  <c:v>Social value carbon commitments</c:v>
                </c:pt>
              </c:strCache>
            </c:strRef>
          </c:tx>
          <c:spPr>
            <a:solidFill>
              <a:schemeClr val="accent2"/>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v2.xlsx]Sheet1'!$AD$125:$AQ$125</c:f>
              <c:numCache>
                <c:formatCode>General</c:formatCode>
                <c:ptCount val="14"/>
                <c:pt idx="0">
                  <c:v>7861</c:v>
                </c:pt>
                <c:pt idx="1">
                  <c:v>7861</c:v>
                </c:pt>
                <c:pt idx="2">
                  <c:v>7861</c:v>
                </c:pt>
                <c:pt idx="3">
                  <c:v>7861</c:v>
                </c:pt>
                <c:pt idx="4">
                  <c:v>7861</c:v>
                </c:pt>
                <c:pt idx="5" formatCode="#,##0">
                  <c:v>6288.8</c:v>
                </c:pt>
                <c:pt idx="6" formatCode="#,##0">
                  <c:v>6288.8</c:v>
                </c:pt>
                <c:pt idx="7" formatCode="#,##0">
                  <c:v>4716.6000000000004</c:v>
                </c:pt>
                <c:pt idx="8" formatCode="#,##0">
                  <c:v>4716.6000000000004</c:v>
                </c:pt>
                <c:pt idx="9">
                  <c:v>3144.4000000000005</c:v>
                </c:pt>
                <c:pt idx="10">
                  <c:v>3144.4000000000005</c:v>
                </c:pt>
                <c:pt idx="11">
                  <c:v>1572.2000000000005</c:v>
                </c:pt>
                <c:pt idx="12">
                  <c:v>1572.2000000000005</c:v>
                </c:pt>
                <c:pt idx="13" formatCode="#,##0">
                  <c:v>0</c:v>
                </c:pt>
              </c:numCache>
            </c:numRef>
          </c:val>
          <c:extLst>
            <c:ext xmlns:c16="http://schemas.microsoft.com/office/drawing/2014/chart" uri="{C3380CC4-5D6E-409C-BE32-E72D297353CC}">
              <c16:uniqueId val="{00000004-455D-4E76-AE3B-BFF3B97C6613}"/>
            </c:ext>
          </c:extLst>
        </c:ser>
        <c:ser>
          <c:idx val="5"/>
          <c:order val="5"/>
          <c:tx>
            <c:strRef>
              <c:f>'[240702 Green Plan Delivery Plan V3.1 copy with workstream graphs v2.xlsx]Sheet1'!$AB$137</c:f>
              <c:strCache>
                <c:ptCount val="1"/>
                <c:pt idx="0">
                  <c:v>Plastic reduciton projects</c:v>
                </c:pt>
              </c:strCache>
            </c:strRef>
          </c:tx>
          <c:spPr>
            <a:solidFill>
              <a:schemeClr val="accent6"/>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v2.xlsx]Sheet1'!$AD$137:$AQ$137</c:f>
              <c:numCache>
                <c:formatCode>General</c:formatCode>
                <c:ptCount val="14"/>
                <c:pt idx="0">
                  <c:v>576</c:v>
                </c:pt>
                <c:pt idx="1">
                  <c:v>576</c:v>
                </c:pt>
                <c:pt idx="2">
                  <c:v>576</c:v>
                </c:pt>
                <c:pt idx="3">
                  <c:v>480</c:v>
                </c:pt>
                <c:pt idx="4">
                  <c:v>480</c:v>
                </c:pt>
                <c:pt idx="5">
                  <c:v>384</c:v>
                </c:pt>
                <c:pt idx="6">
                  <c:v>384</c:v>
                </c:pt>
                <c:pt idx="7">
                  <c:v>288</c:v>
                </c:pt>
                <c:pt idx="8">
                  <c:v>288</c:v>
                </c:pt>
                <c:pt idx="9">
                  <c:v>192</c:v>
                </c:pt>
                <c:pt idx="10">
                  <c:v>192</c:v>
                </c:pt>
                <c:pt idx="11">
                  <c:v>96</c:v>
                </c:pt>
                <c:pt idx="12">
                  <c:v>96</c:v>
                </c:pt>
                <c:pt idx="13">
                  <c:v>0</c:v>
                </c:pt>
              </c:numCache>
            </c:numRef>
          </c:val>
          <c:extLst>
            <c:ext xmlns:c16="http://schemas.microsoft.com/office/drawing/2014/chart" uri="{C3380CC4-5D6E-409C-BE32-E72D297353CC}">
              <c16:uniqueId val="{00000005-455D-4E76-AE3B-BFF3B97C6613}"/>
            </c:ext>
          </c:extLst>
        </c:ser>
        <c:ser>
          <c:idx val="6"/>
          <c:order val="6"/>
          <c:tx>
            <c:strRef>
              <c:f>'[240702 Green Plan Delivery Plan V3.1 copy with workstream graphs v2.xlsx]Sheet1'!$AB$141</c:f>
              <c:strCache>
                <c:ptCount val="1"/>
                <c:pt idx="0">
                  <c:v>Catering plastics removal</c:v>
                </c:pt>
              </c:strCache>
            </c:strRef>
          </c:tx>
          <c:spPr>
            <a:solidFill>
              <a:schemeClr val="accent1">
                <a:lumMod val="60000"/>
              </a:schemeClr>
            </a:solidFill>
            <a:ln w="25400">
              <a:noFill/>
            </a:ln>
            <a:effectLst/>
          </c:spPr>
          <c:cat>
            <c:strRef>
              <c:f>'[240702 Green Plan Delivery Plan V3.1 copy with workstream graphs v2.xlsx]Sheet1'!$N$3:$AA$3</c:f>
              <c:strCache>
                <c:ptCount val="13"/>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v2.xlsx]Sheet1'!$AD$141:$AQ$141</c:f>
              <c:numCache>
                <c:formatCode>General</c:formatCode>
                <c:ptCount val="14"/>
                <c:pt idx="0">
                  <c:v>45</c:v>
                </c:pt>
                <c:pt idx="1">
                  <c:v>45</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6-455D-4E76-AE3B-BFF3B97C6613}"/>
            </c:ext>
          </c:extLst>
        </c:ser>
        <c:dLbls>
          <c:showLegendKey val="0"/>
          <c:showVal val="0"/>
          <c:showCatName val="0"/>
          <c:showSerName val="0"/>
          <c:showPercent val="0"/>
          <c:showBubbleSize val="0"/>
        </c:dLbls>
        <c:axId val="1728094000"/>
        <c:axId val="309636176"/>
      </c:areaChart>
      <c:catAx>
        <c:axId val="172809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8499434834898142"/>
              <c:y val="0.910611038990998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36176"/>
        <c:crosses val="autoZero"/>
        <c:auto val="1"/>
        <c:lblAlgn val="ctr"/>
        <c:lblOffset val="100"/>
        <c:noMultiLvlLbl val="0"/>
      </c:catAx>
      <c:valAx>
        <c:axId val="30963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Tonnes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094000"/>
        <c:crosses val="autoZero"/>
        <c:crossBetween val="midCat"/>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73413643071003443"/>
          <c:y val="8.2382308594404433E-3"/>
          <c:w val="0.26586345981418241"/>
          <c:h val="0.600004079489247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 trajectory</a:t>
            </a:r>
          </a:p>
        </c:rich>
      </c:tx>
      <c:layout>
        <c:manualLayout>
          <c:xMode val="edge"/>
          <c:yMode val="edge"/>
          <c:x val="9.3925235911776914E-2"/>
          <c:y val="2.2277239011620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479676898014169E-2"/>
          <c:y val="3.3560574665008981E-2"/>
          <c:w val="0.71687643311690352"/>
          <c:h val="0.83396556480643214"/>
        </c:manualLayout>
      </c:layout>
      <c:areaChart>
        <c:grouping val="stacked"/>
        <c:varyColors val="0"/>
        <c:ser>
          <c:idx val="0"/>
          <c:order val="0"/>
          <c:tx>
            <c:strRef>
              <c:f>'[240702 Green Plan Delivery Plan V3.1 copy with workstream graphs v2.xlsx]Sheet1'!$AB$147</c:f>
              <c:strCache>
                <c:ptCount val="1"/>
                <c:pt idx="0">
                  <c:v>Unfunded further actions</c:v>
                </c:pt>
              </c:strCache>
            </c:strRef>
          </c:tx>
          <c:spPr>
            <a:solidFill>
              <a:schemeClr val="accent1"/>
            </a:solidFill>
            <a:ln w="25400">
              <a:noFill/>
            </a:ln>
            <a:effectLst/>
          </c:spPr>
          <c:cat>
            <c:strRef>
              <c:f>'C:\Users\nb13657\Desktop\[240521 Green Plan Delivery Plan V3.1 TEST carbon reduction.xlsx]Sheet1'!$N$3:$AA$3</c:f>
              <c:strCache>
                <c:ptCount val="14"/>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v2.xlsx]Sheet1'!$AD$147:$AQ$147</c:f>
              <c:numCache>
                <c:formatCode>General</c:formatCode>
                <c:ptCount val="14"/>
                <c:pt idx="0">
                  <c:v>48323</c:v>
                </c:pt>
                <c:pt idx="1">
                  <c:v>48323</c:v>
                </c:pt>
                <c:pt idx="2">
                  <c:v>48323</c:v>
                </c:pt>
                <c:pt idx="3">
                  <c:v>48323</c:v>
                </c:pt>
                <c:pt idx="4">
                  <c:v>48323</c:v>
                </c:pt>
                <c:pt idx="5">
                  <c:v>48323</c:v>
                </c:pt>
                <c:pt idx="6">
                  <c:v>48323</c:v>
                </c:pt>
                <c:pt idx="7">
                  <c:v>48323</c:v>
                </c:pt>
                <c:pt idx="8">
                  <c:v>48323</c:v>
                </c:pt>
                <c:pt idx="9">
                  <c:v>48323</c:v>
                </c:pt>
                <c:pt idx="10">
                  <c:v>48323</c:v>
                </c:pt>
                <c:pt idx="11">
                  <c:v>48323</c:v>
                </c:pt>
                <c:pt idx="12">
                  <c:v>48323</c:v>
                </c:pt>
                <c:pt idx="13">
                  <c:v>48323</c:v>
                </c:pt>
              </c:numCache>
            </c:numRef>
          </c:val>
          <c:extLst>
            <c:ext xmlns:c16="http://schemas.microsoft.com/office/drawing/2014/chart" uri="{C3380CC4-5D6E-409C-BE32-E72D297353CC}">
              <c16:uniqueId val="{00000000-A471-4D5C-B3F3-3E691044CD71}"/>
            </c:ext>
          </c:extLst>
        </c:ser>
        <c:ser>
          <c:idx val="1"/>
          <c:order val="1"/>
          <c:tx>
            <c:strRef>
              <c:f>'[240702 Green Plan Delivery Plan V3.1 copy with workstream graphs v2.xlsx]Sheet1'!$AB$165</c:f>
              <c:strCache>
                <c:ptCount val="1"/>
                <c:pt idx="0">
                  <c:v>Supplier Carbon Reduction Plans implemented</c:v>
                </c:pt>
              </c:strCache>
            </c:strRef>
          </c:tx>
          <c:spPr>
            <a:solidFill>
              <a:schemeClr val="accent2"/>
            </a:solidFill>
            <a:ln w="25400">
              <a:noFill/>
            </a:ln>
            <a:effectLst/>
          </c:spPr>
          <c:cat>
            <c:strRef>
              <c:f>'C:\Users\nb13657\Desktop\[240521 Green Plan Delivery Plan V3.1 TEST carbon reduction.xlsx]Sheet1'!$N$3:$AA$3</c:f>
              <c:strCache>
                <c:ptCount val="14"/>
                <c:pt idx="0">
                  <c:v>        2023/24</c:v>
                </c:pt>
                <c:pt idx="2">
                  <c:v>      2024/25</c:v>
                </c:pt>
                <c:pt idx="4">
                  <c:v>     2025/26</c:v>
                </c:pt>
                <c:pt idx="6">
                  <c:v>     2026/27</c:v>
                </c:pt>
                <c:pt idx="8">
                  <c:v>     2027/28</c:v>
                </c:pt>
                <c:pt idx="10">
                  <c:v>     2028/29</c:v>
                </c:pt>
                <c:pt idx="12">
                  <c:v>     2029/30</c:v>
                </c:pt>
              </c:strCache>
            </c:strRef>
          </c:cat>
          <c:val>
            <c:numRef>
              <c:f>'[240702 Green Plan Delivery Plan V3.1 copy with workstream graphs v2.xlsx]Sheet1'!$AD$165:$AQ$165</c:f>
              <c:numCache>
                <c:formatCode>#,##0</c:formatCode>
                <c:ptCount val="14"/>
                <c:pt idx="0">
                  <c:v>39537</c:v>
                </c:pt>
                <c:pt idx="1">
                  <c:v>39537</c:v>
                </c:pt>
                <c:pt idx="2">
                  <c:v>39537</c:v>
                </c:pt>
                <c:pt idx="3">
                  <c:v>39537</c:v>
                </c:pt>
                <c:pt idx="4">
                  <c:v>39537</c:v>
                </c:pt>
                <c:pt idx="5">
                  <c:v>39537</c:v>
                </c:pt>
                <c:pt idx="6">
                  <c:v>39537</c:v>
                </c:pt>
                <c:pt idx="7">
                  <c:v>29652.75</c:v>
                </c:pt>
                <c:pt idx="8">
                  <c:v>29652.75</c:v>
                </c:pt>
                <c:pt idx="9">
                  <c:v>19768.5</c:v>
                </c:pt>
                <c:pt idx="10">
                  <c:v>19768.5</c:v>
                </c:pt>
                <c:pt idx="11">
                  <c:v>9884.25</c:v>
                </c:pt>
                <c:pt idx="12">
                  <c:v>9884.25</c:v>
                </c:pt>
                <c:pt idx="13">
                  <c:v>0</c:v>
                </c:pt>
              </c:numCache>
            </c:numRef>
          </c:val>
          <c:extLst>
            <c:ext xmlns:c16="http://schemas.microsoft.com/office/drawing/2014/chart" uri="{C3380CC4-5D6E-409C-BE32-E72D297353CC}">
              <c16:uniqueId val="{00000001-A471-4D5C-B3F3-3E691044CD71}"/>
            </c:ext>
          </c:extLst>
        </c:ser>
        <c:ser>
          <c:idx val="2"/>
          <c:order val="2"/>
          <c:tx>
            <c:strRef>
              <c:f>'[240702 Green Plan Delivery Plan V3.1 copy with workstream graphs v2.xlsx]Sheet1'!$AB$156</c:f>
              <c:strCache>
                <c:ptCount val="1"/>
                <c:pt idx="0">
                  <c:v>Cease use of Desflurane</c:v>
                </c:pt>
              </c:strCache>
            </c:strRef>
          </c:tx>
          <c:spPr>
            <a:solidFill>
              <a:schemeClr val="accent3"/>
            </a:solidFill>
            <a:ln w="25400">
              <a:noFill/>
            </a:ln>
            <a:effectLst/>
          </c:spPr>
          <c:val>
            <c:numRef>
              <c:f>'[240702 Green Plan Delivery Plan V3.1 copy with workstream graphs v2.xlsx]Sheet1'!$AD$156:$AQ$156</c:f>
              <c:numCache>
                <c:formatCode>#,##0</c:formatCode>
                <c:ptCount val="14"/>
                <c:pt idx="0" formatCode="General">
                  <c:v>119</c:v>
                </c:pt>
                <c:pt idx="1">
                  <c:v>119.4</c:v>
                </c:pt>
                <c:pt idx="2">
                  <c:v>119.4</c:v>
                </c:pt>
                <c:pt idx="3" formatCode="General">
                  <c:v>0</c:v>
                </c:pt>
                <c:pt idx="4" formatCode="General">
                  <c:v>0</c:v>
                </c:pt>
                <c:pt idx="5" formatCode="General">
                  <c:v>0</c:v>
                </c:pt>
                <c:pt idx="6" formatCode="General">
                  <c:v>0</c:v>
                </c:pt>
                <c:pt idx="7" formatCode="General">
                  <c:v>0</c:v>
                </c:pt>
                <c:pt idx="8" formatCode="General">
                  <c:v>0</c:v>
                </c:pt>
                <c:pt idx="9" formatCode="General">
                  <c:v>0</c:v>
                </c:pt>
                <c:pt idx="10" formatCode="General">
                  <c:v>0</c:v>
                </c:pt>
                <c:pt idx="11" formatCode="General">
                  <c:v>0</c:v>
                </c:pt>
                <c:pt idx="12" formatCode="General">
                  <c:v>0</c:v>
                </c:pt>
                <c:pt idx="13" formatCode="General">
                  <c:v>0</c:v>
                </c:pt>
              </c:numCache>
            </c:numRef>
          </c:val>
          <c:extLst>
            <c:ext xmlns:c16="http://schemas.microsoft.com/office/drawing/2014/chart" uri="{C3380CC4-5D6E-409C-BE32-E72D297353CC}">
              <c16:uniqueId val="{00000002-A471-4D5C-B3F3-3E691044CD71}"/>
            </c:ext>
          </c:extLst>
        </c:ser>
        <c:ser>
          <c:idx val="3"/>
          <c:order val="3"/>
          <c:tx>
            <c:strRef>
              <c:f>'[240702 Green Plan Delivery Plan V3.1 copy with workstream graphs v2.xlsx]Sheet1'!$AB$159</c:f>
              <c:strCache>
                <c:ptCount val="1"/>
                <c:pt idx="0">
                  <c:v>Anaesthetic gas capture</c:v>
                </c:pt>
              </c:strCache>
            </c:strRef>
          </c:tx>
          <c:spPr>
            <a:solidFill>
              <a:schemeClr val="accent4"/>
            </a:solidFill>
            <a:ln w="25400">
              <a:noFill/>
            </a:ln>
            <a:effectLst/>
          </c:spPr>
          <c:val>
            <c:numRef>
              <c:f>'[240702 Green Plan Delivery Plan V3.1 copy with workstream graphs v2.xlsx]Sheet1'!$AD$159:$AQ$159</c:f>
              <c:numCache>
                <c:formatCode>General</c:formatCode>
                <c:ptCount val="14"/>
                <c:pt idx="0">
                  <c:v>5851</c:v>
                </c:pt>
                <c:pt idx="1">
                  <c:v>5851</c:v>
                </c:pt>
                <c:pt idx="2">
                  <c:v>5851</c:v>
                </c:pt>
                <c:pt idx="3">
                  <c:v>5851</c:v>
                </c:pt>
                <c:pt idx="4">
                  <c:v>5851</c:v>
                </c:pt>
                <c:pt idx="5">
                  <c:v>5851</c:v>
                </c:pt>
                <c:pt idx="6">
                  <c:v>5851</c:v>
                </c:pt>
                <c:pt idx="7">
                  <c:v>5851</c:v>
                </c:pt>
                <c:pt idx="8">
                  <c:v>5851</c:v>
                </c:pt>
                <c:pt idx="9">
                  <c:v>4973.3499999999995</c:v>
                </c:pt>
                <c:pt idx="10">
                  <c:v>4973.3499999999995</c:v>
                </c:pt>
                <c:pt idx="11">
                  <c:v>4973.3499999999995</c:v>
                </c:pt>
                <c:pt idx="12">
                  <c:v>4973.3499999999995</c:v>
                </c:pt>
                <c:pt idx="13" formatCode="#,##0">
                  <c:v>0</c:v>
                </c:pt>
              </c:numCache>
            </c:numRef>
          </c:val>
          <c:extLst>
            <c:ext xmlns:c16="http://schemas.microsoft.com/office/drawing/2014/chart" uri="{C3380CC4-5D6E-409C-BE32-E72D297353CC}">
              <c16:uniqueId val="{00000003-A471-4D5C-B3F3-3E691044CD71}"/>
            </c:ext>
          </c:extLst>
        </c:ser>
        <c:ser>
          <c:idx val="4"/>
          <c:order val="4"/>
          <c:tx>
            <c:strRef>
              <c:f>'[240702 Green Plan Delivery Plan V3.1 copy with workstream graphs v2.xlsx]Sheet1'!$AB$162</c:f>
              <c:strCache>
                <c:ptCount val="1"/>
                <c:pt idx="0">
                  <c:v>Inhaler swiiching</c:v>
                </c:pt>
              </c:strCache>
            </c:strRef>
          </c:tx>
          <c:spPr>
            <a:solidFill>
              <a:schemeClr val="accent5"/>
            </a:solidFill>
            <a:ln w="25400">
              <a:noFill/>
            </a:ln>
            <a:effectLst/>
          </c:spPr>
          <c:val>
            <c:numRef>
              <c:f>'[240702 Green Plan Delivery Plan V3.1 copy with workstream graphs v2.xlsx]Sheet1'!$AD$162:$AQ$162</c:f>
              <c:numCache>
                <c:formatCode>General</c:formatCode>
                <c:ptCount val="14"/>
                <c:pt idx="0">
                  <c:v>12790</c:v>
                </c:pt>
                <c:pt idx="1">
                  <c:v>12790</c:v>
                </c:pt>
                <c:pt idx="2">
                  <c:v>12790</c:v>
                </c:pt>
                <c:pt idx="3">
                  <c:v>12790</c:v>
                </c:pt>
                <c:pt idx="4">
                  <c:v>12790</c:v>
                </c:pt>
                <c:pt idx="5">
                  <c:v>10551.75</c:v>
                </c:pt>
                <c:pt idx="6">
                  <c:v>10551.75</c:v>
                </c:pt>
                <c:pt idx="7">
                  <c:v>8313.5</c:v>
                </c:pt>
                <c:pt idx="8">
                  <c:v>8313.5</c:v>
                </c:pt>
                <c:pt idx="9">
                  <c:v>6075.25</c:v>
                </c:pt>
                <c:pt idx="10">
                  <c:v>6075.25</c:v>
                </c:pt>
                <c:pt idx="11">
                  <c:v>3837</c:v>
                </c:pt>
                <c:pt idx="12">
                  <c:v>3837</c:v>
                </c:pt>
                <c:pt idx="13">
                  <c:v>1598.75</c:v>
                </c:pt>
              </c:numCache>
            </c:numRef>
          </c:val>
          <c:extLst>
            <c:ext xmlns:c16="http://schemas.microsoft.com/office/drawing/2014/chart" uri="{C3380CC4-5D6E-409C-BE32-E72D297353CC}">
              <c16:uniqueId val="{00000004-A471-4D5C-B3F3-3E691044CD71}"/>
            </c:ext>
          </c:extLst>
        </c:ser>
        <c:dLbls>
          <c:showLegendKey val="0"/>
          <c:showVal val="0"/>
          <c:showCatName val="0"/>
          <c:showSerName val="0"/>
          <c:showPercent val="0"/>
          <c:showBubbleSize val="0"/>
        </c:dLbls>
        <c:axId val="1728094000"/>
        <c:axId val="309636176"/>
      </c:areaChart>
      <c:catAx>
        <c:axId val="172809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8499434834898142"/>
              <c:y val="0.910611038990998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36176"/>
        <c:crosses val="autoZero"/>
        <c:auto val="1"/>
        <c:lblAlgn val="ctr"/>
        <c:lblOffset val="100"/>
        <c:noMultiLvlLbl val="0"/>
      </c:catAx>
      <c:valAx>
        <c:axId val="30963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Tonnes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094000"/>
        <c:crosses val="autoZero"/>
        <c:crossBetween val="midCat"/>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74439405454869989"/>
          <c:y val="2.4097658933572921E-3"/>
          <c:w val="0.25328691168356232"/>
          <c:h val="0.494847892335605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Healthier Together with ICB document">
      <a:dk1>
        <a:srgbClr val="1C1F63"/>
      </a:dk1>
      <a:lt1>
        <a:sysClr val="window" lastClr="FFFFFF"/>
      </a:lt1>
      <a:dk2>
        <a:srgbClr val="44546A"/>
      </a:dk2>
      <a:lt2>
        <a:srgbClr val="E7E6E6"/>
      </a:lt2>
      <a:accent1>
        <a:srgbClr val="1C1F63"/>
      </a:accent1>
      <a:accent2>
        <a:srgbClr val="075EDB"/>
      </a:accent2>
      <a:accent3>
        <a:srgbClr val="1C1F63"/>
      </a:accent3>
      <a:accent4>
        <a:srgbClr val="075EDB"/>
      </a:accent4>
      <a:accent5>
        <a:srgbClr val="1C1F63"/>
      </a:accent5>
      <a:accent6>
        <a:srgbClr val="075EDB"/>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612e6a-d23e-4811-b298-7a2797638829">
      <Terms xmlns="http://schemas.microsoft.com/office/infopath/2007/PartnerControls"/>
    </lcf76f155ced4ddcb4097134ff3c332f>
    <SharedWithUsers xmlns="85fd6039-888e-4c0f-b9d3-811741975100">
      <UserInfo>
        <DisplayName>SMITH, Rebekah (NHS BRISTOL, NORTH SOMERSET AND SOUTH GLOUCESTERSHIRE ICB - 15C)</DisplayName>
        <AccountId>64</AccountId>
        <AccountType/>
      </UserInfo>
      <UserInfo>
        <DisplayName>BALLOCH, Becky (NHS BRISTOL, NORTH SOMERSET AND SOUTH GLOUCESTERSHIRE ICB - 15C)</DisplayName>
        <AccountId>40</AccountId>
        <AccountType/>
      </UserInfo>
      <UserInfo>
        <DisplayName>BOND, Jennifer (NHS BRISTOL, NORTH SOMERSET AND SOUTH GLOUCESTERSHIRE ICB - 15C)</DisplayName>
        <AccountId>93</AccountId>
        <AccountType/>
      </UserInfo>
      <UserInfo>
        <DisplayName>WOODSTOCK, Jade (NHS BRISTOL, NORTH SOMERSET AND SOUTH GLOUCESTERSHIRE ICB - 15C)</DisplayName>
        <AccountId>341</AccountId>
        <AccountType/>
      </UserInfo>
      <UserInfo>
        <DisplayName>HAVERGAL, Naomi (NHS BRISTOL, NORTH SOMERSET AND SOUTH GLOUCESTERSHIRE ICB - 15C)</DisplayName>
        <AccountId>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5FF1A2ABE224C98B767F21AD36D32" ma:contentTypeVersion="14" ma:contentTypeDescription="Create a new document." ma:contentTypeScope="" ma:versionID="07e1ee26e180c57b1865ad79aa7db5ca">
  <xsd:schema xmlns:xsd="http://www.w3.org/2001/XMLSchema" xmlns:xs="http://www.w3.org/2001/XMLSchema" xmlns:p="http://schemas.microsoft.com/office/2006/metadata/properties" xmlns:ns2="ef612e6a-d23e-4811-b298-7a2797638829" xmlns:ns3="85fd6039-888e-4c0f-b9d3-811741975100" targetNamespace="http://schemas.microsoft.com/office/2006/metadata/properties" ma:root="true" ma:fieldsID="2df753cc8b80624267c796da7a52341c" ns2:_="" ns3:_="">
    <xsd:import namespace="ef612e6a-d23e-4811-b298-7a2797638829"/>
    <xsd:import namespace="85fd6039-888e-4c0f-b9d3-8117419751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2e6a-d23e-4811-b298-7a2797638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d6039-888e-4c0f-b9d3-8117419751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4711C-A410-452D-9C4D-F8F4CBD2A4AC}">
  <ds:schemaRefs>
    <ds:schemaRef ds:uri="http://schemas.microsoft.com/office/2006/metadata/properties"/>
    <ds:schemaRef ds:uri="http://schemas.microsoft.com/office/infopath/2007/PartnerControls"/>
    <ds:schemaRef ds:uri="ef612e6a-d23e-4811-b298-7a2797638829"/>
    <ds:schemaRef ds:uri="85fd6039-888e-4c0f-b9d3-811741975100"/>
  </ds:schemaRefs>
</ds:datastoreItem>
</file>

<file path=customXml/itemProps2.xml><?xml version="1.0" encoding="utf-8"?>
<ds:datastoreItem xmlns:ds="http://schemas.openxmlformats.org/officeDocument/2006/customXml" ds:itemID="{8CA44210-F4FB-4E7D-8C47-B65983997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2e6a-d23e-4811-b298-7a2797638829"/>
    <ds:schemaRef ds:uri="85fd6039-888e-4c0f-b9d3-811741975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customXml/itemProps4.xml><?xml version="1.0" encoding="utf-8"?>
<ds:datastoreItem xmlns:ds="http://schemas.openxmlformats.org/officeDocument/2006/customXml" ds:itemID="{3EB5CA97-A5E1-42C1-85D5-5D9F5920563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1413</TotalTime>
  <Pages>29</Pages>
  <Words>8814</Words>
  <Characters>50244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blank template January 2019</vt:lpstr>
    </vt:vector>
  </TitlesOfParts>
  <Company/>
  <LinksUpToDate>false</LinksUpToDate>
  <CharactersWithSpaces>58941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January 2019</dc:title>
  <dc:subject/>
  <dc:creator>Suvidha Bane</dc:creator>
  <cp:keywords/>
  <dc:description/>
  <cp:lastModifiedBy>Megan Murphy</cp:lastModifiedBy>
  <cp:revision>51</cp:revision>
  <dcterms:created xsi:type="dcterms:W3CDTF">2024-08-08T09:59:00Z</dcterms:created>
  <dcterms:modified xsi:type="dcterms:W3CDTF">2024-10-02T15:45:00Z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0x0101006595FF1A2ABE224C98B767F21AD36D32</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