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2970" w14:textId="09EBBF84" w:rsidR="00C459B1" w:rsidRPr="00C459B1" w:rsidRDefault="00C04F5F" w:rsidP="00B65793">
      <w:pPr>
        <w:pStyle w:val="NHSBluehead1"/>
        <w:outlineLvl w:val="0"/>
      </w:pPr>
      <w:r>
        <w:t xml:space="preserve">Appendix </w:t>
      </w:r>
      <w:r w:rsidR="009C645A">
        <w:t>1</w:t>
      </w:r>
      <w:r w:rsidR="00C459B1" w:rsidRPr="00C459B1">
        <w:t xml:space="preserve">: </w:t>
      </w:r>
    </w:p>
    <w:p w14:paraId="0D3BF2A1" w14:textId="6E151156" w:rsidR="009E000B" w:rsidRDefault="00C04F5F" w:rsidP="00C04F5F">
      <w:pPr>
        <w:pStyle w:val="NHSBlueIntro1"/>
        <w:sectPr w:rsidR="009E000B" w:rsidSect="009E000B">
          <w:headerReference w:type="default" r:id="rId10"/>
          <w:footerReference w:type="even" r:id="rId11"/>
          <w:footerReference w:type="default" r:id="rId12"/>
          <w:pgSz w:w="11900" w:h="16840"/>
          <w:pgMar w:top="2552" w:right="567" w:bottom="1151" w:left="567" w:header="720" w:footer="663" w:gutter="0"/>
          <w:cols w:space="720"/>
          <w:docGrid w:linePitch="360"/>
        </w:sectPr>
      </w:pPr>
      <w:r w:rsidRPr="00C04F5F">
        <w:t xml:space="preserve">North Bristol NHS Trust </w:t>
      </w:r>
      <w:r w:rsidR="009C645A">
        <w:t>Green Plan</w:t>
      </w:r>
      <w:r>
        <w:t xml:space="preserve"> </w:t>
      </w:r>
      <w:r w:rsidR="009C645A">
        <w:t xml:space="preserve">Annual </w:t>
      </w:r>
      <w:r w:rsidRPr="00C04F5F">
        <w:t>Report</w:t>
      </w:r>
    </w:p>
    <w:p w14:paraId="107E16EE" w14:textId="0C0147E7" w:rsidR="003F4A2A" w:rsidRDefault="003F4A2A" w:rsidP="008B64F2">
      <w:pPr>
        <w:pStyle w:val="NHSBody12pt"/>
        <w:sectPr w:rsidR="003F4A2A" w:rsidSect="00C459B1">
          <w:type w:val="continuous"/>
          <w:pgSz w:w="11900" w:h="16840"/>
          <w:pgMar w:top="2552" w:right="567" w:bottom="567" w:left="567" w:header="720" w:footer="663" w:gutter="0"/>
          <w:cols w:num="2" w:space="284"/>
          <w:docGrid w:linePitch="360"/>
        </w:sectPr>
      </w:pPr>
    </w:p>
    <w:p w14:paraId="74C8BD50" w14:textId="77777777" w:rsidR="00A32B9F" w:rsidRDefault="00A32B9F" w:rsidP="00C04F5F">
      <w:pPr>
        <w:pStyle w:val="NHSbodybulleted"/>
        <w:numPr>
          <w:ilvl w:val="0"/>
          <w:numId w:val="0"/>
        </w:numPr>
        <w:sectPr w:rsidR="00A32B9F" w:rsidSect="00907CE5">
          <w:type w:val="continuous"/>
          <w:pgSz w:w="11900" w:h="16840"/>
          <w:pgMar w:top="2552" w:right="567" w:bottom="567" w:left="567" w:header="720" w:footer="663" w:gutter="0"/>
          <w:cols w:num="2" w:space="284"/>
          <w:docGrid w:linePitch="360"/>
        </w:sectPr>
      </w:pPr>
    </w:p>
    <w:p w14:paraId="391E8483" w14:textId="63AFF2C6" w:rsidR="00F94166" w:rsidRPr="00A5373B" w:rsidRDefault="00A5373B" w:rsidP="00B65793">
      <w:pPr>
        <w:pStyle w:val="NHSSmallsub1"/>
        <w:ind w:right="-6"/>
        <w:outlineLvl w:val="1"/>
      </w:pPr>
      <w:r>
        <w:t>Summary of Progress</w:t>
      </w:r>
    </w:p>
    <w:p w14:paraId="305A5BBD" w14:textId="1F74DFA0" w:rsidR="00A80563" w:rsidRDefault="008C2508" w:rsidP="00907CE5">
      <w:pPr>
        <w:pStyle w:val="NHSBody12pt"/>
      </w:pPr>
      <w:r>
        <w:t xml:space="preserve">Clinical and corporate teams across the Trust made a tremendous effort throughout 2023-24 to </w:t>
      </w:r>
      <w:r w:rsidR="000B30BD">
        <w:t xml:space="preserve">reduce waste and carbon within their areas. </w:t>
      </w:r>
      <w:r>
        <w:t>The Trust was able to make significant progress across the key Green Plan areas (supply chain, travel, energy, waste, medicines) despite limited resource and funding</w:t>
      </w:r>
      <w:r w:rsidR="000B30BD">
        <w:t xml:space="preserve">. </w:t>
      </w:r>
    </w:p>
    <w:p w14:paraId="276CC749" w14:textId="77777777" w:rsidR="00A80563" w:rsidRDefault="00A80563" w:rsidP="00907CE5">
      <w:pPr>
        <w:pStyle w:val="NHSBody12pt"/>
      </w:pPr>
    </w:p>
    <w:p w14:paraId="7E241539" w14:textId="2EFA93DC" w:rsidR="00A80563" w:rsidRPr="00A5373B" w:rsidRDefault="00A80563" w:rsidP="00B65793">
      <w:pPr>
        <w:pStyle w:val="NHSBody12pt"/>
        <w:numPr>
          <w:ilvl w:val="0"/>
          <w:numId w:val="30"/>
        </w:numPr>
        <w:ind w:left="714" w:right="-6" w:hanging="357"/>
        <w:outlineLvl w:val="2"/>
        <w:rPr>
          <w:b/>
          <w:bCs/>
          <w:color w:val="005EB8" w:themeColor="accent2"/>
        </w:rPr>
      </w:pPr>
      <w:r w:rsidRPr="00A5373B">
        <w:rPr>
          <w:b/>
          <w:bCs/>
          <w:color w:val="005EB8" w:themeColor="accent2"/>
        </w:rPr>
        <w:t>Key achievements the Trust made in 2023-24</w:t>
      </w:r>
      <w:r w:rsidR="004A5CD6" w:rsidRPr="00A5373B">
        <w:rPr>
          <w:b/>
          <w:bCs/>
          <w:color w:val="005EB8" w:themeColor="accent2"/>
        </w:rPr>
        <w:t xml:space="preserve"> and so far in 2024-25</w:t>
      </w:r>
      <w:r w:rsidRPr="00A5373B">
        <w:rPr>
          <w:b/>
          <w:bCs/>
          <w:color w:val="005EB8" w:themeColor="accent2"/>
        </w:rPr>
        <w:t>:</w:t>
      </w:r>
    </w:p>
    <w:p w14:paraId="1FB141C3" w14:textId="4A2B275C" w:rsidR="00907CE5" w:rsidRDefault="00453F3C" w:rsidP="006E3C4F">
      <w:pPr>
        <w:pStyle w:val="NHSBody12pt"/>
        <w:numPr>
          <w:ilvl w:val="0"/>
          <w:numId w:val="29"/>
        </w:numPr>
      </w:pPr>
      <w:r>
        <w:t xml:space="preserve">Successfully </w:t>
      </w:r>
      <w:r w:rsidR="000B30BD">
        <w:t>obtained</w:t>
      </w:r>
      <w:r>
        <w:t xml:space="preserve"> funding to improve the Head Injury Therapy Unit’s Eco Therapy Garden</w:t>
      </w:r>
      <w:r w:rsidR="00073EB1">
        <w:t xml:space="preserve"> and deliver green social prescribing programmes for patients to address health inequalities associated with access to nature</w:t>
      </w:r>
      <w:r w:rsidR="000B30BD">
        <w:t xml:space="preserve">. </w:t>
      </w:r>
    </w:p>
    <w:p w14:paraId="4B7169FD" w14:textId="7491D42D" w:rsidR="00073EB1" w:rsidRDefault="00073EB1" w:rsidP="006E3C4F">
      <w:pPr>
        <w:pStyle w:val="NHSBody12pt"/>
        <w:numPr>
          <w:ilvl w:val="0"/>
          <w:numId w:val="29"/>
        </w:numPr>
      </w:pPr>
      <w:r>
        <w:t xml:space="preserve">Our Emergency Department achieved a Bronze Award in the </w:t>
      </w:r>
      <w:proofErr w:type="spellStart"/>
      <w:r>
        <w:t>GreenED</w:t>
      </w:r>
      <w:proofErr w:type="spellEnd"/>
      <w:r>
        <w:t xml:space="preserve"> framework</w:t>
      </w:r>
      <w:r w:rsidR="000B30BD">
        <w:t>.</w:t>
      </w:r>
    </w:p>
    <w:p w14:paraId="04E1466D" w14:textId="555FCEE9" w:rsidR="00073EB1" w:rsidRDefault="00073EB1" w:rsidP="006E3C4F">
      <w:pPr>
        <w:pStyle w:val="NHSBody12pt"/>
        <w:numPr>
          <w:ilvl w:val="0"/>
          <w:numId w:val="29"/>
        </w:numPr>
      </w:pPr>
      <w:r>
        <w:t xml:space="preserve">Our Anaesthetics department received </w:t>
      </w:r>
      <w:r w:rsidR="00AB7E72">
        <w:t xml:space="preserve">brilliant feedback from the Royal College </w:t>
      </w:r>
      <w:r w:rsidR="00175AA0">
        <w:t xml:space="preserve">of Anaesthetists through the </w:t>
      </w:r>
      <w:r w:rsidR="00AB7E72" w:rsidRPr="00AB7E72">
        <w:t>Anaesthesia Clinical Services Accreditation</w:t>
      </w:r>
      <w:r w:rsidR="002E6041">
        <w:t xml:space="preserve"> and have effectively </w:t>
      </w:r>
      <w:r w:rsidR="00801820">
        <w:t>decommissioned</w:t>
      </w:r>
      <w:r w:rsidR="002E6041">
        <w:t xml:space="preserve"> Desflurane </w:t>
      </w:r>
      <w:r w:rsidR="00801820">
        <w:t xml:space="preserve">across </w:t>
      </w:r>
      <w:proofErr w:type="spellStart"/>
      <w:r w:rsidR="00801820">
        <w:t>threatres</w:t>
      </w:r>
      <w:proofErr w:type="spellEnd"/>
      <w:r w:rsidR="00801820">
        <w:t xml:space="preserve"> and have</w:t>
      </w:r>
      <w:r w:rsidR="002E6041">
        <w:t xml:space="preserve"> significantly reduced </w:t>
      </w:r>
      <w:r w:rsidR="00801820">
        <w:t xml:space="preserve">their use of </w:t>
      </w:r>
      <w:r w:rsidR="002E6041">
        <w:t xml:space="preserve">Isoflurane. </w:t>
      </w:r>
    </w:p>
    <w:p w14:paraId="7475F12D" w14:textId="1DB3D0A1" w:rsidR="00175AA0" w:rsidRDefault="00175AA0" w:rsidP="006E3C4F">
      <w:pPr>
        <w:pStyle w:val="NHSBody12pt"/>
        <w:numPr>
          <w:ilvl w:val="0"/>
          <w:numId w:val="29"/>
        </w:numPr>
      </w:pPr>
      <w:r>
        <w:t>We developed and introduced the Sustainability Impact Assessment which has been shared widely across the UK and has been adopted in</w:t>
      </w:r>
      <w:r w:rsidR="000F7DA6">
        <w:t>to</w:t>
      </w:r>
      <w:r>
        <w:t xml:space="preserve"> the ICB’s gateway process. </w:t>
      </w:r>
    </w:p>
    <w:p w14:paraId="7F28E942" w14:textId="5FF98BAB" w:rsidR="00A676A7" w:rsidRDefault="00A676A7" w:rsidP="006E3C4F">
      <w:pPr>
        <w:pStyle w:val="NHSBody12pt"/>
        <w:numPr>
          <w:ilvl w:val="0"/>
          <w:numId w:val="29"/>
        </w:numPr>
      </w:pPr>
      <w:r>
        <w:t xml:space="preserve">We were successful in receiving </w:t>
      </w:r>
      <w:r w:rsidR="00AA252C">
        <w:t>£</w:t>
      </w:r>
      <w:r w:rsidR="00066238">
        <w:t>11.7</w:t>
      </w:r>
      <w:r w:rsidR="00AA252C">
        <w:t xml:space="preserve"> million of </w:t>
      </w:r>
      <w:r w:rsidR="006802EC">
        <w:t xml:space="preserve">Public Sector Decarbonisation Funding </w:t>
      </w:r>
      <w:r w:rsidR="00AA252C">
        <w:t xml:space="preserve">and £438k of the Low Carbon Skills Fund </w:t>
      </w:r>
      <w:r w:rsidR="00282432">
        <w:t xml:space="preserve">to decarbonise our heating and deliver energy efficiency improvement projects. </w:t>
      </w:r>
    </w:p>
    <w:p w14:paraId="59D5E4BF" w14:textId="6F43AB57" w:rsidR="004A5CD6" w:rsidRDefault="004A5CD6" w:rsidP="006E3C4F">
      <w:pPr>
        <w:pStyle w:val="NHSBody12pt"/>
        <w:numPr>
          <w:ilvl w:val="0"/>
          <w:numId w:val="29"/>
        </w:numPr>
      </w:pPr>
      <w:r>
        <w:t>We have partnered with WECA to trial an electric cargo bike in our facilities department as part of their Urban Freight Trial</w:t>
      </w:r>
      <w:r w:rsidR="00E9098F">
        <w:t>.</w:t>
      </w:r>
    </w:p>
    <w:p w14:paraId="6A70B7D9" w14:textId="1985C7CC" w:rsidR="000C4FC4" w:rsidRDefault="000C4FC4" w:rsidP="006E3C4F">
      <w:pPr>
        <w:pStyle w:val="NHSBody12pt"/>
        <w:numPr>
          <w:ilvl w:val="0"/>
          <w:numId w:val="29"/>
        </w:numPr>
      </w:pPr>
      <w:r>
        <w:t>Our loan bike scheme has been popular</w:t>
      </w:r>
      <w:r w:rsidR="00365C0D">
        <w:t xml:space="preserve"> with 55 bikes loaned to staff. </w:t>
      </w:r>
    </w:p>
    <w:p w14:paraId="42029C1E" w14:textId="1870A443" w:rsidR="00936F56" w:rsidRDefault="00936F56" w:rsidP="006E3C4F">
      <w:pPr>
        <w:pStyle w:val="NHSBody12pt"/>
        <w:numPr>
          <w:ilvl w:val="0"/>
          <w:numId w:val="29"/>
        </w:numPr>
      </w:pPr>
      <w:r>
        <w:t xml:space="preserve">We delivered a world first Green Operating Day across five of our Neurosurgery theatres which has been shortlisted for a HSJ Award and has spiked the interest of surgeons and academics across the country. </w:t>
      </w:r>
    </w:p>
    <w:p w14:paraId="5B86D2F2" w14:textId="355A95EA" w:rsidR="00171A3D" w:rsidRDefault="00171A3D" w:rsidP="006E3C4F">
      <w:pPr>
        <w:pStyle w:val="NHSBody12pt"/>
        <w:numPr>
          <w:ilvl w:val="0"/>
          <w:numId w:val="29"/>
        </w:numPr>
      </w:pPr>
      <w:r>
        <w:t>Our pharmacy team has beg</w:t>
      </w:r>
      <w:r w:rsidR="00E9098F">
        <w:t>u</w:t>
      </w:r>
      <w:r>
        <w:t xml:space="preserve">n the return and reuse of medicines from wards as well as looking into other opportunities to recycle medicines waste. </w:t>
      </w:r>
    </w:p>
    <w:p w14:paraId="58D5989F" w14:textId="12BC0352" w:rsidR="004B2DA9" w:rsidRDefault="004B2DA9" w:rsidP="006E3C4F">
      <w:pPr>
        <w:pStyle w:val="NHSBody12pt"/>
        <w:numPr>
          <w:ilvl w:val="0"/>
          <w:numId w:val="29"/>
        </w:numPr>
      </w:pPr>
      <w:r>
        <w:t xml:space="preserve">Our Infection Control team has embedded sustainability within their audit process and have trialled sustainable products that reduce waste and are safer for our staff and patients. </w:t>
      </w:r>
    </w:p>
    <w:p w14:paraId="2F4EE049" w14:textId="117200F9" w:rsidR="00A87619" w:rsidRDefault="00A87619" w:rsidP="006E3C4F">
      <w:pPr>
        <w:pStyle w:val="NHSBody12pt"/>
        <w:numPr>
          <w:ilvl w:val="0"/>
          <w:numId w:val="29"/>
        </w:numPr>
      </w:pPr>
      <w:r>
        <w:t xml:space="preserve">In Radiology, a consultant has reduced energy consumption </w:t>
      </w:r>
      <w:r w:rsidR="0029496E">
        <w:t xml:space="preserve">of their PACS machines </w:t>
      </w:r>
      <w:r w:rsidR="001A286C">
        <w:t xml:space="preserve">by 58% </w:t>
      </w:r>
      <w:r w:rsidR="0029496E">
        <w:t xml:space="preserve">through </w:t>
      </w:r>
      <w:r w:rsidR="00142E70">
        <w:t xml:space="preserve">working with </w:t>
      </w:r>
      <w:r w:rsidR="0029496E">
        <w:t xml:space="preserve">the </w:t>
      </w:r>
      <w:r w:rsidR="00142E70">
        <w:t>manufacturer</w:t>
      </w:r>
      <w:r w:rsidR="0029496E">
        <w:t xml:space="preserve">. </w:t>
      </w:r>
    </w:p>
    <w:p w14:paraId="3E519C60" w14:textId="6E4B0CF0" w:rsidR="00FC3F66" w:rsidRDefault="00FC3F66" w:rsidP="006E3C4F">
      <w:pPr>
        <w:pStyle w:val="NHSBody12pt"/>
        <w:numPr>
          <w:ilvl w:val="0"/>
          <w:numId w:val="29"/>
        </w:numPr>
      </w:pPr>
      <w:r>
        <w:t xml:space="preserve">The Sustainable Pathology Group have developed their own sustainability strategy and have successfully persuaded the NHS to fund </w:t>
      </w:r>
      <w:r w:rsidR="006C3490">
        <w:t xml:space="preserve">their laboratories in gaining a widely recognised sustainability accreditation. </w:t>
      </w:r>
    </w:p>
    <w:p w14:paraId="1140447D" w14:textId="34B70F2A" w:rsidR="00583C2F" w:rsidRDefault="00583C2F" w:rsidP="006E3C4F">
      <w:pPr>
        <w:pStyle w:val="NHSBody12pt"/>
        <w:numPr>
          <w:ilvl w:val="0"/>
          <w:numId w:val="29"/>
        </w:numPr>
      </w:pPr>
      <w:r>
        <w:t xml:space="preserve">Procurement have assessed the </w:t>
      </w:r>
      <w:r w:rsidR="000669E8">
        <w:t xml:space="preserve">carbon reduction plans and sustainability strategies of our top 100 suppliers and have </w:t>
      </w:r>
      <w:r w:rsidR="008B040E">
        <w:t xml:space="preserve">provided the opportunity to collaborate to achieve net zero carbon together. </w:t>
      </w:r>
    </w:p>
    <w:p w14:paraId="1CEA8559" w14:textId="0A73AC45" w:rsidR="00925D11" w:rsidRDefault="00925D11" w:rsidP="006E3C4F">
      <w:pPr>
        <w:pStyle w:val="NHSBody12pt"/>
        <w:numPr>
          <w:ilvl w:val="0"/>
          <w:numId w:val="29"/>
        </w:numPr>
      </w:pPr>
      <w:r>
        <w:lastRenderedPageBreak/>
        <w:t xml:space="preserve">Patient First has embedded sustainability within their Patient First Delivery training and A3 problem solving. </w:t>
      </w:r>
    </w:p>
    <w:p w14:paraId="4A746F11" w14:textId="77777777" w:rsidR="00925D11" w:rsidRDefault="00925D11" w:rsidP="00925D11">
      <w:pPr>
        <w:pStyle w:val="NHSBody12pt"/>
        <w:ind w:left="720"/>
      </w:pPr>
    </w:p>
    <w:p w14:paraId="64946F29" w14:textId="3D595B77" w:rsidR="00430A05" w:rsidRDefault="00430A05" w:rsidP="00B65793">
      <w:pPr>
        <w:pStyle w:val="NHSBody12pt"/>
        <w:numPr>
          <w:ilvl w:val="0"/>
          <w:numId w:val="30"/>
        </w:numPr>
        <w:ind w:left="714" w:right="-6" w:hanging="357"/>
        <w:outlineLvl w:val="2"/>
        <w:rPr>
          <w:b/>
          <w:bCs/>
          <w:color w:val="005EB8" w:themeColor="accent2"/>
        </w:rPr>
      </w:pPr>
      <w:r>
        <w:rPr>
          <w:b/>
          <w:bCs/>
          <w:color w:val="005EB8" w:themeColor="accent2"/>
        </w:rPr>
        <w:t xml:space="preserve">Our Trust’s </w:t>
      </w:r>
      <w:r w:rsidRPr="004B0BDE">
        <w:rPr>
          <w:b/>
          <w:bCs/>
          <w:color w:val="005EB8" w:themeColor="accent2"/>
        </w:rPr>
        <w:t>Carbon Footprint</w:t>
      </w:r>
    </w:p>
    <w:p w14:paraId="75625E4E" w14:textId="77777777" w:rsidR="00430A05" w:rsidRDefault="00430A05" w:rsidP="00430A05">
      <w:pPr>
        <w:pStyle w:val="NHSBody12pt"/>
        <w:ind w:left="360"/>
        <w:rPr>
          <w:b/>
          <w:bCs/>
          <w:color w:val="005EB8" w:themeColor="accent2"/>
        </w:rPr>
      </w:pPr>
    </w:p>
    <w:p w14:paraId="2D4D9C26" w14:textId="77777777" w:rsidR="004B0BDE" w:rsidRDefault="004B0BDE" w:rsidP="004B0BDE">
      <w:pPr>
        <w:pStyle w:val="NHSBody12pt"/>
        <w:ind w:left="357" w:right="-6"/>
      </w:pPr>
      <w:r>
        <w:t xml:space="preserve">The Trust’s carbon footprint is calculated using multiple data sources from procurement, finance, transport, waste contractors, estates, pharmacy, pay roll, BOC, the travel to work survey, Clarity Business </w:t>
      </w:r>
      <w:proofErr w:type="gramStart"/>
      <w:r>
        <w:t>Services</w:t>
      </w:r>
      <w:proofErr w:type="gramEnd"/>
      <w:r>
        <w:t xml:space="preserve"> and business intelligence. To this end, the carbon footprint is dependent on the accuracy, </w:t>
      </w:r>
      <w:proofErr w:type="gramStart"/>
      <w:r>
        <w:t>availability</w:t>
      </w:r>
      <w:proofErr w:type="gramEnd"/>
      <w:r>
        <w:t xml:space="preserve"> and granularity of this data. Timely data collection and cooperation from responsible departments to improve the data provided is therefore key to accurately calculating the carbon footprint. The raw data is available upon request. </w:t>
      </w:r>
    </w:p>
    <w:p w14:paraId="7A320EB5" w14:textId="77777777" w:rsidR="004B0BDE" w:rsidRDefault="004B0BDE" w:rsidP="00430A05">
      <w:pPr>
        <w:pStyle w:val="NHSBody12pt"/>
        <w:ind w:left="360"/>
        <w:rPr>
          <w:color w:val="231F20" w:themeColor="text1"/>
        </w:rPr>
      </w:pPr>
    </w:p>
    <w:p w14:paraId="0A3FADD9" w14:textId="6082059E" w:rsidR="00430A05" w:rsidRDefault="00596D90" w:rsidP="00430A05">
      <w:pPr>
        <w:pStyle w:val="NHSBody12pt"/>
        <w:ind w:left="360"/>
        <w:rPr>
          <w:color w:val="231F20" w:themeColor="text1"/>
        </w:rPr>
      </w:pPr>
      <w:r>
        <w:rPr>
          <w:color w:val="231F20" w:themeColor="text1"/>
        </w:rPr>
        <w:t>Figure 1</w:t>
      </w:r>
      <w:r w:rsidR="00805E09">
        <w:rPr>
          <w:color w:val="231F20" w:themeColor="text1"/>
        </w:rPr>
        <w:t xml:space="preserve"> displays the Trust’s carbon footprint </w:t>
      </w:r>
      <w:r w:rsidR="003F4B47">
        <w:rPr>
          <w:color w:val="231F20" w:themeColor="text1"/>
        </w:rPr>
        <w:t xml:space="preserve">for each financial year from 2019/20 to 2023/24 split into scope 1, 2 and 3 emissions. Scope 1 is what we directly emit through </w:t>
      </w:r>
      <w:r w:rsidR="0028283A">
        <w:rPr>
          <w:color w:val="231F20" w:themeColor="text1"/>
        </w:rPr>
        <w:t>our gas and oil consumption for heating and our generators</w:t>
      </w:r>
      <w:r w:rsidR="00AC1B44">
        <w:rPr>
          <w:color w:val="231F20" w:themeColor="text1"/>
        </w:rPr>
        <w:t>, our fleet vehicles and administration of anaesthetics. Scope 2 is what we indirectly emit through the electricity we purchase and scope 3 is what we indirectly emit through the supply chain of the products and services we buy</w:t>
      </w:r>
      <w:r w:rsidR="00AA6EB7">
        <w:rPr>
          <w:color w:val="231F20" w:themeColor="text1"/>
        </w:rPr>
        <w:t xml:space="preserve">, </w:t>
      </w:r>
      <w:r w:rsidR="00AC1B44">
        <w:rPr>
          <w:color w:val="231F20" w:themeColor="text1"/>
        </w:rPr>
        <w:t>staff and patient travel</w:t>
      </w:r>
      <w:r w:rsidR="00AA6EB7">
        <w:rPr>
          <w:color w:val="231F20" w:themeColor="text1"/>
        </w:rPr>
        <w:t xml:space="preserve"> and the treatment of our waste. </w:t>
      </w:r>
    </w:p>
    <w:p w14:paraId="43137275" w14:textId="77777777" w:rsidR="0003718E" w:rsidRDefault="0003718E" w:rsidP="00430A05">
      <w:pPr>
        <w:pStyle w:val="NHSBody12pt"/>
        <w:ind w:left="360"/>
        <w:rPr>
          <w:color w:val="231F20" w:themeColor="text1"/>
        </w:rPr>
      </w:pPr>
    </w:p>
    <w:p w14:paraId="0D996110" w14:textId="4DFB1E99" w:rsidR="0003718E" w:rsidRPr="0003718E" w:rsidRDefault="0003718E" w:rsidP="00430A05">
      <w:pPr>
        <w:pStyle w:val="NHSBody12pt"/>
        <w:ind w:left="360"/>
        <w:rPr>
          <w:color w:val="231F20" w:themeColor="text1"/>
        </w:rPr>
      </w:pPr>
      <w:r>
        <w:rPr>
          <w:color w:val="231F20" w:themeColor="text1"/>
        </w:rPr>
        <w:t>In 2023/24 the Trust emitted 32,480 tonnes CO</w:t>
      </w:r>
      <w:r>
        <w:rPr>
          <w:color w:val="231F20" w:themeColor="text1"/>
          <w:vertAlign w:val="subscript"/>
        </w:rPr>
        <w:t>2</w:t>
      </w:r>
      <w:r>
        <w:rPr>
          <w:color w:val="231F20" w:themeColor="text1"/>
        </w:rPr>
        <w:t xml:space="preserve">e more than the previous year due to increased spend </w:t>
      </w:r>
      <w:r w:rsidR="002333C1">
        <w:rPr>
          <w:color w:val="231F20" w:themeColor="text1"/>
        </w:rPr>
        <w:t xml:space="preserve">on medical equipment, medicines, </w:t>
      </w:r>
      <w:r w:rsidR="00934AA0">
        <w:rPr>
          <w:color w:val="231F20" w:themeColor="text1"/>
        </w:rPr>
        <w:t xml:space="preserve">chemicals and reagents, </w:t>
      </w:r>
      <w:r w:rsidR="001F4427">
        <w:rPr>
          <w:color w:val="231F20" w:themeColor="text1"/>
        </w:rPr>
        <w:t xml:space="preserve">diagnostic </w:t>
      </w:r>
      <w:proofErr w:type="gramStart"/>
      <w:r w:rsidR="001F4427">
        <w:rPr>
          <w:color w:val="231F20" w:themeColor="text1"/>
        </w:rPr>
        <w:t>imaging</w:t>
      </w:r>
      <w:proofErr w:type="gramEnd"/>
      <w:r w:rsidR="001F4427">
        <w:rPr>
          <w:color w:val="231F20" w:themeColor="text1"/>
        </w:rPr>
        <w:t xml:space="preserve"> and radiotherapy equipment</w:t>
      </w:r>
      <w:r w:rsidR="00596D90">
        <w:rPr>
          <w:color w:val="231F20" w:themeColor="text1"/>
        </w:rPr>
        <w:t xml:space="preserve">, building and engineering services and office equipment. </w:t>
      </w:r>
      <w:r w:rsidR="004A16DA">
        <w:rPr>
          <w:color w:val="231F20" w:themeColor="text1"/>
        </w:rPr>
        <w:t xml:space="preserve">Carbon reductions were made </w:t>
      </w:r>
      <w:r w:rsidR="003049FB">
        <w:rPr>
          <w:color w:val="231F20" w:themeColor="text1"/>
        </w:rPr>
        <w:t xml:space="preserve">through decarbonisation of our energy, decommissioning high carbon </w:t>
      </w:r>
      <w:proofErr w:type="gramStart"/>
      <w:r w:rsidR="003049FB">
        <w:rPr>
          <w:color w:val="231F20" w:themeColor="text1"/>
        </w:rPr>
        <w:t>anaes</w:t>
      </w:r>
      <w:r w:rsidR="007054BB">
        <w:rPr>
          <w:color w:val="231F20" w:themeColor="text1"/>
        </w:rPr>
        <w:t>thetics</w:t>
      </w:r>
      <w:proofErr w:type="gramEnd"/>
      <w:r w:rsidR="007054BB">
        <w:rPr>
          <w:color w:val="231F20" w:themeColor="text1"/>
        </w:rPr>
        <w:t xml:space="preserve"> and reducing waste </w:t>
      </w:r>
      <w:r w:rsidR="00070F61">
        <w:rPr>
          <w:color w:val="231F20" w:themeColor="text1"/>
        </w:rPr>
        <w:t xml:space="preserve">being collected for high carbon treatment. </w:t>
      </w:r>
    </w:p>
    <w:p w14:paraId="60F34640" w14:textId="77777777" w:rsidR="003B72C5" w:rsidRDefault="003B72C5" w:rsidP="00430A05">
      <w:pPr>
        <w:pStyle w:val="NHSBody12pt"/>
        <w:ind w:left="360"/>
        <w:rPr>
          <w:color w:val="231F20" w:themeColor="text1"/>
        </w:rPr>
      </w:pPr>
    </w:p>
    <w:p w14:paraId="3B2EA135" w14:textId="4A97AF75" w:rsidR="003B72C5" w:rsidRDefault="003B72C5" w:rsidP="00430A05">
      <w:pPr>
        <w:pStyle w:val="NHSBody12pt"/>
        <w:ind w:left="360"/>
        <w:rPr>
          <w:color w:val="231F20" w:themeColor="text1"/>
        </w:rPr>
      </w:pPr>
      <w:r>
        <w:rPr>
          <w:color w:val="231F20" w:themeColor="text1"/>
        </w:rPr>
        <w:t xml:space="preserve">The red </w:t>
      </w:r>
      <w:r w:rsidR="00A016C2">
        <w:rPr>
          <w:color w:val="231F20" w:themeColor="text1"/>
        </w:rPr>
        <w:t>section</w:t>
      </w:r>
      <w:r w:rsidR="00C41689">
        <w:rPr>
          <w:color w:val="231F20" w:themeColor="text1"/>
        </w:rPr>
        <w:t xml:space="preserve"> in the bar chart alludes to the carbon footprint the Trust would have if there were no sustainability improvement and carbon reduction projects completed in 2023/24. This </w:t>
      </w:r>
      <w:r w:rsidR="00E47243">
        <w:rPr>
          <w:color w:val="231F20" w:themeColor="text1"/>
        </w:rPr>
        <w:t xml:space="preserve">amounts to </w:t>
      </w:r>
      <w:r w:rsidR="000E3584">
        <w:rPr>
          <w:color w:val="231F20" w:themeColor="text1"/>
        </w:rPr>
        <w:t>1.4 million kg of CO</w:t>
      </w:r>
      <w:r w:rsidR="000E3584" w:rsidRPr="000E3584">
        <w:rPr>
          <w:color w:val="231F20" w:themeColor="text1"/>
          <w:vertAlign w:val="subscript"/>
        </w:rPr>
        <w:t>2</w:t>
      </w:r>
      <w:r w:rsidR="000E3584">
        <w:rPr>
          <w:color w:val="231F20" w:themeColor="text1"/>
        </w:rPr>
        <w:t>e which highlights</w:t>
      </w:r>
      <w:r w:rsidR="00C41689">
        <w:rPr>
          <w:color w:val="231F20" w:themeColor="text1"/>
        </w:rPr>
        <w:t xml:space="preserve"> the work done by key departments to identify and address carbon and waste hotspots in their services. </w:t>
      </w:r>
      <w:r w:rsidR="000E3584">
        <w:rPr>
          <w:color w:val="231F20" w:themeColor="text1"/>
        </w:rPr>
        <w:t xml:space="preserve">Many projects have not yet calculated carbon savings and so the true figure for carbon reduced in the last financial year is expected to be </w:t>
      </w:r>
      <w:r w:rsidR="003C4CE8">
        <w:rPr>
          <w:color w:val="231F20" w:themeColor="text1"/>
        </w:rPr>
        <w:t>larger</w:t>
      </w:r>
      <w:r w:rsidR="000E3584">
        <w:rPr>
          <w:color w:val="231F20" w:themeColor="text1"/>
        </w:rPr>
        <w:t xml:space="preserve">. We are also aware that we have not captured all sustainability projects delivered across the Trust and </w:t>
      </w:r>
      <w:r w:rsidR="00C81E70">
        <w:rPr>
          <w:color w:val="231F20" w:themeColor="text1"/>
        </w:rPr>
        <w:t xml:space="preserve">require support from Finance and Patient First to help us </w:t>
      </w:r>
      <w:r w:rsidR="003C4CE8">
        <w:rPr>
          <w:color w:val="231F20" w:themeColor="text1"/>
        </w:rPr>
        <w:t xml:space="preserve">do this. </w:t>
      </w:r>
      <w:r w:rsidR="000E3584">
        <w:rPr>
          <w:color w:val="231F20" w:themeColor="text1"/>
        </w:rPr>
        <w:t xml:space="preserve"> </w:t>
      </w:r>
    </w:p>
    <w:p w14:paraId="2E35070E" w14:textId="77777777" w:rsidR="003C4CE8" w:rsidRDefault="003C4CE8" w:rsidP="00430A05">
      <w:pPr>
        <w:pStyle w:val="NHSBody12pt"/>
        <w:ind w:left="360"/>
        <w:rPr>
          <w:color w:val="231F20" w:themeColor="text1"/>
        </w:rPr>
      </w:pPr>
    </w:p>
    <w:p w14:paraId="04C64CA8" w14:textId="4E1EA6B7" w:rsidR="006B0043" w:rsidRDefault="00667020" w:rsidP="006B0043">
      <w:pPr>
        <w:pStyle w:val="NHSBody12pt"/>
        <w:keepNext/>
        <w:ind w:left="360"/>
      </w:pPr>
      <w:r>
        <w:rPr>
          <w:noProof/>
        </w:rPr>
        <w:lastRenderedPageBreak/>
        <w:drawing>
          <wp:inline distT="0" distB="0" distL="0" distR="0" wp14:anchorId="08EE9021" wp14:editId="3B0AECD5">
            <wp:extent cx="6486525" cy="3079985"/>
            <wp:effectExtent l="0" t="0" r="0" b="6350"/>
            <wp:docPr id="2139077338" name="Picture 1" descr="A hybrid bar and line graph showing the carbon footprint of North Bristol NHS Trust split into scope 1, 2 and 3 emissions for each financial year from 2019-20 to 2023-24. Overlaid line graphs sow projections for NBT net zero goal to 2030, NHS net zero goal to 2045 and Climate Change Act 2008 to 205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77338" name="Picture 1" descr="A hybrid bar and line graph showing the carbon footprint of North Bristol NHS Trust split into scope 1, 2 and 3 emissions for each financial year from 2019-20 to 2023-24. Overlaid line graphs sow projections for NBT net zero goal to 2030, NHS net zero goal to 2045 and Climate Change Act 2008 to 2050. "/>
                    <pic:cNvPicPr/>
                  </pic:nvPicPr>
                  <pic:blipFill>
                    <a:blip r:embed="rId13"/>
                    <a:stretch>
                      <a:fillRect/>
                    </a:stretch>
                  </pic:blipFill>
                  <pic:spPr>
                    <a:xfrm>
                      <a:off x="0" y="0"/>
                      <a:ext cx="6494331" cy="3083691"/>
                    </a:xfrm>
                    <a:prstGeom prst="rect">
                      <a:avLst/>
                    </a:prstGeom>
                  </pic:spPr>
                </pic:pic>
              </a:graphicData>
            </a:graphic>
          </wp:inline>
        </w:drawing>
      </w:r>
    </w:p>
    <w:p w14:paraId="4A2D4EC0" w14:textId="536D4F77" w:rsidR="003C4CE8" w:rsidRPr="00805E09" w:rsidRDefault="006B0043" w:rsidP="006B0043">
      <w:pPr>
        <w:pStyle w:val="Caption"/>
        <w:rPr>
          <w:color w:val="231F20" w:themeColor="text1"/>
        </w:rPr>
      </w:pPr>
      <w:r>
        <w:t xml:space="preserve">Figure </w:t>
      </w:r>
      <w:r>
        <w:fldChar w:fldCharType="begin"/>
      </w:r>
      <w:r>
        <w:instrText xml:space="preserve"> SEQ Figure \* ARABIC </w:instrText>
      </w:r>
      <w:r>
        <w:fldChar w:fldCharType="separate"/>
      </w:r>
      <w:r w:rsidR="00693D6A">
        <w:rPr>
          <w:noProof/>
        </w:rPr>
        <w:t>1</w:t>
      </w:r>
      <w:r>
        <w:fldChar w:fldCharType="end"/>
      </w:r>
      <w:r>
        <w:t xml:space="preserve"> North Bristol NHS Trust's total carbon footprint from every financial year from 2019</w:t>
      </w:r>
      <w:r w:rsidR="002B31FE">
        <w:t>/20 to 2023/24 split into scope emissions and benchmarked against the Trusts net zero carbon goal, the wider NHS net zero carbon goal and the UK governments net zero carbon goal. Th</w:t>
      </w:r>
      <w:r w:rsidR="00667020">
        <w:t xml:space="preserve">e footprint is compared </w:t>
      </w:r>
      <w:r w:rsidR="00BA2680">
        <w:t xml:space="preserve">with the amount of carbon the Trust has reduced, as far as it is aware and has been able to calculate.   </w:t>
      </w:r>
    </w:p>
    <w:p w14:paraId="4395DDCE" w14:textId="77777777" w:rsidR="002E6041" w:rsidRDefault="002E6041" w:rsidP="00801820">
      <w:pPr>
        <w:pStyle w:val="NHSBody12pt"/>
        <w:ind w:left="360"/>
      </w:pPr>
    </w:p>
    <w:p w14:paraId="0CF283C4" w14:textId="2568E2C2" w:rsidR="005917B5" w:rsidRDefault="009E0099" w:rsidP="00907CE5">
      <w:pPr>
        <w:pStyle w:val="NHSBody12pt"/>
      </w:pPr>
      <w:r>
        <w:t>Figures 2, 3 and 4</w:t>
      </w:r>
      <w:r w:rsidR="00500DFA">
        <w:t xml:space="preserve"> below have normalised the Trust’s carbon footprint against </w:t>
      </w:r>
      <w:r w:rsidR="005917B5">
        <w:t xml:space="preserve">total patient contacts, occupied internal floor area and operating expenditure. </w:t>
      </w:r>
    </w:p>
    <w:p w14:paraId="2918F6F2" w14:textId="77777777" w:rsidR="005917B5" w:rsidRDefault="005917B5" w:rsidP="00907CE5">
      <w:pPr>
        <w:pStyle w:val="NHSBody12pt"/>
      </w:pPr>
    </w:p>
    <w:p w14:paraId="2319A454" w14:textId="1A9C2759" w:rsidR="009E0099" w:rsidRDefault="00C40BB3" w:rsidP="009E0099">
      <w:pPr>
        <w:pStyle w:val="NHSBody12pt"/>
        <w:keepNext/>
      </w:pPr>
      <w:r>
        <w:rPr>
          <w:noProof/>
        </w:rPr>
        <w:drawing>
          <wp:inline distT="0" distB="0" distL="0" distR="0" wp14:anchorId="739E370E" wp14:editId="4ADE8C8A">
            <wp:extent cx="6836410" cy="1468755"/>
            <wp:effectExtent l="0" t="0" r="2540" b="0"/>
            <wp:docPr id="1965712569" name="Picture 1" descr="Three graphs showing the scope emissions 1-3 per total patient contacts, occupied internal floor area and operating expenditure for every financial year from 2019/20 to 2023/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12569" name="Picture 1" descr="Three graphs showing the scope emissions 1-3 per total patient contacts, occupied internal floor area and operating expenditure for every financial year from 2019/20 to 2023/24. "/>
                    <pic:cNvPicPr/>
                  </pic:nvPicPr>
                  <pic:blipFill>
                    <a:blip r:embed="rId14"/>
                    <a:stretch>
                      <a:fillRect/>
                    </a:stretch>
                  </pic:blipFill>
                  <pic:spPr>
                    <a:xfrm>
                      <a:off x="0" y="0"/>
                      <a:ext cx="6836410" cy="1468755"/>
                    </a:xfrm>
                    <a:prstGeom prst="rect">
                      <a:avLst/>
                    </a:prstGeom>
                  </pic:spPr>
                </pic:pic>
              </a:graphicData>
            </a:graphic>
          </wp:inline>
        </w:drawing>
      </w:r>
    </w:p>
    <w:p w14:paraId="0197D786" w14:textId="171C50AA" w:rsidR="005917B5" w:rsidRDefault="009E0099" w:rsidP="009E0099">
      <w:pPr>
        <w:pStyle w:val="Caption"/>
      </w:pPr>
      <w:r>
        <w:t xml:space="preserve">Figure </w:t>
      </w:r>
      <w:r>
        <w:fldChar w:fldCharType="begin"/>
      </w:r>
      <w:r>
        <w:instrText xml:space="preserve"> SEQ Figure \* ARABIC </w:instrText>
      </w:r>
      <w:r>
        <w:fldChar w:fldCharType="separate"/>
      </w:r>
      <w:r w:rsidR="00693D6A">
        <w:rPr>
          <w:noProof/>
        </w:rPr>
        <w:t>2</w:t>
      </w:r>
      <w:r>
        <w:fldChar w:fldCharType="end"/>
      </w:r>
      <w:r>
        <w:t xml:space="preserve">, 3 and 4 The </w:t>
      </w:r>
      <w:proofErr w:type="spellStart"/>
      <w:r>
        <w:t>tonnes</w:t>
      </w:r>
      <w:proofErr w:type="spellEnd"/>
      <w:r>
        <w:t xml:space="preserve"> of carbon emitted per </w:t>
      </w:r>
      <w:r w:rsidR="000159BA">
        <w:t>patient contact</w:t>
      </w:r>
      <w:r>
        <w:t xml:space="preserve">, </w:t>
      </w:r>
      <w:r w:rsidR="000159BA">
        <w:t xml:space="preserve">meter squared of </w:t>
      </w:r>
      <w:r>
        <w:t xml:space="preserve">occupied floor area and </w:t>
      </w:r>
      <w:r w:rsidR="000159BA">
        <w:t xml:space="preserve">pound of </w:t>
      </w:r>
      <w:r>
        <w:t>operating expenditure</w:t>
      </w:r>
      <w:r w:rsidR="00114152">
        <w:t xml:space="preserve"> for each scope emission</w:t>
      </w:r>
      <w:r>
        <w:t>.</w:t>
      </w:r>
    </w:p>
    <w:p w14:paraId="36C022D6" w14:textId="1C264B19" w:rsidR="00114152" w:rsidRDefault="00B65793" w:rsidP="00907CE5">
      <w:pPr>
        <w:pStyle w:val="NHSBody12pt"/>
      </w:pPr>
      <w:r>
        <w:t>Figure 5</w:t>
      </w:r>
      <w:r w:rsidR="005536C2">
        <w:t xml:space="preserve"> </w:t>
      </w:r>
      <w:r w:rsidR="00D5492E">
        <w:t>highlight</w:t>
      </w:r>
      <w:r>
        <w:t>s</w:t>
      </w:r>
      <w:r w:rsidR="00D5492E">
        <w:t xml:space="preserve"> the largest </w:t>
      </w:r>
      <w:r w:rsidR="00223CBC">
        <w:t>emitters</w:t>
      </w:r>
      <w:r w:rsidR="00D5492E">
        <w:t xml:space="preserve"> </w:t>
      </w:r>
      <w:r w:rsidR="00223CBC">
        <w:t>that are driving</w:t>
      </w:r>
      <w:r w:rsidR="00D5492E">
        <w:t xml:space="preserve"> the Trust’s carbon footprint</w:t>
      </w:r>
      <w:r w:rsidR="00223CBC">
        <w:t>.</w:t>
      </w:r>
      <w:r w:rsidR="009325B4">
        <w:t xml:space="preserve"> </w:t>
      </w:r>
      <w:r w:rsidR="00F110F7">
        <w:t>This year we have seen a reduction in carbon emitted from our b</w:t>
      </w:r>
      <w:r w:rsidR="009325B4">
        <w:t>uildings and energy</w:t>
      </w:r>
      <w:r w:rsidR="00BC3273">
        <w:t xml:space="preserve"> </w:t>
      </w:r>
      <w:r w:rsidR="0062591D">
        <w:t>(2,084 tonnes CO</w:t>
      </w:r>
      <w:r w:rsidR="0062591D" w:rsidRPr="00B41A6C">
        <w:rPr>
          <w:vertAlign w:val="subscript"/>
        </w:rPr>
        <w:t>2</w:t>
      </w:r>
      <w:r w:rsidR="0062591D">
        <w:t xml:space="preserve">e) </w:t>
      </w:r>
      <w:r w:rsidR="00BC3273">
        <w:t>and</w:t>
      </w:r>
      <w:r w:rsidR="009325B4">
        <w:t xml:space="preserve"> food and catering </w:t>
      </w:r>
      <w:r w:rsidR="00963AA7">
        <w:t>(6,305 tonnes CO</w:t>
      </w:r>
      <w:r w:rsidR="00963AA7" w:rsidRPr="00B41A6C">
        <w:rPr>
          <w:vertAlign w:val="subscript"/>
        </w:rPr>
        <w:t>2</w:t>
      </w:r>
      <w:r w:rsidR="00963AA7">
        <w:t xml:space="preserve">e) </w:t>
      </w:r>
      <w:r w:rsidR="00BC3273">
        <w:t xml:space="preserve">due to a reduction in </w:t>
      </w:r>
      <w:r w:rsidR="006F1EDC">
        <w:t xml:space="preserve">electricity, </w:t>
      </w:r>
      <w:proofErr w:type="gramStart"/>
      <w:r w:rsidR="006F1EDC">
        <w:t>gas</w:t>
      </w:r>
      <w:proofErr w:type="gramEnd"/>
      <w:r w:rsidR="006F1EDC">
        <w:t xml:space="preserve"> and oil consumption</w:t>
      </w:r>
      <w:r w:rsidR="00183F9E">
        <w:t xml:space="preserve"> </w:t>
      </w:r>
      <w:r w:rsidR="00AD7955">
        <w:t xml:space="preserve">(10,244 MWh) </w:t>
      </w:r>
      <w:r w:rsidR="00183F9E">
        <w:t xml:space="preserve">and a significant reduction </w:t>
      </w:r>
      <w:r w:rsidR="00866F78">
        <w:t xml:space="preserve">in food and catering spend. </w:t>
      </w:r>
    </w:p>
    <w:p w14:paraId="4580DC39" w14:textId="7D2CB246" w:rsidR="00223CBC" w:rsidRDefault="00183F9E" w:rsidP="00907CE5">
      <w:pPr>
        <w:pStyle w:val="NHSBody12pt"/>
      </w:pPr>
      <w:r>
        <w:t xml:space="preserve"> </w:t>
      </w:r>
    </w:p>
    <w:p w14:paraId="173E77B7" w14:textId="233634F6" w:rsidR="00730D2D" w:rsidRDefault="00AC12BC" w:rsidP="00907CE5">
      <w:pPr>
        <w:pStyle w:val="NHSBody12pt"/>
      </w:pPr>
      <w:r>
        <w:t xml:space="preserve">We have seen </w:t>
      </w:r>
      <w:r w:rsidR="008060F2">
        <w:t xml:space="preserve">a significant increase in </w:t>
      </w:r>
      <w:r w:rsidR="00B11564">
        <w:t>carbon emissions from medical equipment</w:t>
      </w:r>
      <w:r w:rsidR="000F0337">
        <w:t>, other supply chain</w:t>
      </w:r>
      <w:r w:rsidR="00BE5238">
        <w:t xml:space="preserve"> (compris</w:t>
      </w:r>
      <w:r w:rsidR="004C7BD9">
        <w:t>ing</w:t>
      </w:r>
      <w:r w:rsidR="00BE5238">
        <w:t xml:space="preserve"> building and engineering services, staff and patient consulting services</w:t>
      </w:r>
      <w:r w:rsidR="004C7BD9">
        <w:t>, staff and patient clothing and hotel services)</w:t>
      </w:r>
      <w:r w:rsidR="00136E56">
        <w:t xml:space="preserve">, technology and stationery, </w:t>
      </w:r>
      <w:proofErr w:type="gramStart"/>
      <w:r w:rsidR="00136E56">
        <w:t>medicines</w:t>
      </w:r>
      <w:proofErr w:type="gramEnd"/>
      <w:r w:rsidR="00136E56">
        <w:t xml:space="preserve"> and chemicals in 2023/24. </w:t>
      </w:r>
      <w:r w:rsidR="00730D2D">
        <w:t>This increase in carbon emissions is directly linked to an increase in spend</w:t>
      </w:r>
      <w:r w:rsidR="001003D3">
        <w:t xml:space="preserve"> due to an increase in activity and </w:t>
      </w:r>
      <w:r w:rsidR="000A5C8E">
        <w:t>projects within these areas</w:t>
      </w:r>
      <w:r w:rsidR="00730D2D">
        <w:t xml:space="preserve">. </w:t>
      </w:r>
    </w:p>
    <w:p w14:paraId="4582F09C" w14:textId="77777777" w:rsidR="009107F5" w:rsidRDefault="009107F5" w:rsidP="00907CE5">
      <w:pPr>
        <w:pStyle w:val="NHSBody12pt"/>
      </w:pPr>
    </w:p>
    <w:p w14:paraId="74FF178F" w14:textId="77777777" w:rsidR="00223CBC" w:rsidRDefault="00223CBC" w:rsidP="00907CE5">
      <w:pPr>
        <w:pStyle w:val="NHSBody12pt"/>
      </w:pPr>
    </w:p>
    <w:p w14:paraId="1A08C8EA" w14:textId="25B487F8" w:rsidR="00114152" w:rsidRDefault="00223CBC" w:rsidP="00114152">
      <w:pPr>
        <w:pStyle w:val="NHSBody12pt"/>
        <w:keepNext/>
      </w:pPr>
      <w:r>
        <w:lastRenderedPageBreak/>
        <w:t xml:space="preserve"> </w:t>
      </w:r>
      <w:r w:rsidR="00E95FC7">
        <w:rPr>
          <w:noProof/>
        </w:rPr>
        <w:drawing>
          <wp:inline distT="0" distB="0" distL="0" distR="0" wp14:anchorId="19D0F29D" wp14:editId="0B23968C">
            <wp:extent cx="3886200" cy="2590800"/>
            <wp:effectExtent l="0" t="0" r="0" b="0"/>
            <wp:docPr id="959574636" name="Picture 1" descr="Bar chart showing carbon footprint per emission sector for each financial year from 2019/20 to 2023/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74636" name="Picture 1" descr="Bar chart showing carbon footprint per emission sector for each financial year from 2019/20 to 2023/24. "/>
                    <pic:cNvPicPr/>
                  </pic:nvPicPr>
                  <pic:blipFill>
                    <a:blip r:embed="rId15"/>
                    <a:stretch>
                      <a:fillRect/>
                    </a:stretch>
                  </pic:blipFill>
                  <pic:spPr>
                    <a:xfrm>
                      <a:off x="0" y="0"/>
                      <a:ext cx="3886200" cy="2590800"/>
                    </a:xfrm>
                    <a:prstGeom prst="rect">
                      <a:avLst/>
                    </a:prstGeom>
                  </pic:spPr>
                </pic:pic>
              </a:graphicData>
            </a:graphic>
          </wp:inline>
        </w:drawing>
      </w:r>
    </w:p>
    <w:p w14:paraId="5E106969" w14:textId="450EE562" w:rsidR="00114152" w:rsidRDefault="00114152" w:rsidP="00114152">
      <w:pPr>
        <w:pStyle w:val="Caption"/>
      </w:pPr>
      <w:r>
        <w:t>Figure 5</w:t>
      </w:r>
      <w:r w:rsidR="00380F56">
        <w:t xml:space="preserve"> The carbon emitted per activity and/or category for each financial year from 2019/20 to 2023/24. </w:t>
      </w:r>
    </w:p>
    <w:p w14:paraId="2F0C028F" w14:textId="4B8915D4" w:rsidR="00E95FC7" w:rsidRDefault="001017B1" w:rsidP="001003D3">
      <w:r>
        <w:t>Figure 6 shows th</w:t>
      </w:r>
      <w:r w:rsidR="00456093">
        <w:t xml:space="preserve">e greatest carbon emitter is ‘other supply chain’ which is comprised of spend associated with </w:t>
      </w:r>
      <w:r w:rsidR="00B47BF2">
        <w:t>our estates</w:t>
      </w:r>
      <w:r w:rsidR="00CF3E68">
        <w:t xml:space="preserve">, </w:t>
      </w:r>
      <w:proofErr w:type="gramStart"/>
      <w:r w:rsidR="00B47BF2">
        <w:t>facilities</w:t>
      </w:r>
      <w:proofErr w:type="gramEnd"/>
      <w:r w:rsidR="00B47BF2">
        <w:t xml:space="preserve"> </w:t>
      </w:r>
      <w:r w:rsidR="00CF3E68">
        <w:t xml:space="preserve">and corporate </w:t>
      </w:r>
      <w:r w:rsidR="00B47BF2">
        <w:t xml:space="preserve">departments. </w:t>
      </w:r>
      <w:r w:rsidR="00D122C8">
        <w:t>Medical equipment and medicines are the second and third largest carbon emitters within the Trust</w:t>
      </w:r>
      <w:r w:rsidR="00BB50B5">
        <w:t xml:space="preserve"> followed by buildings and energy and </w:t>
      </w:r>
      <w:r w:rsidR="007B79B5">
        <w:t xml:space="preserve">technology and </w:t>
      </w:r>
      <w:r w:rsidR="00475252">
        <w:t>stationery</w:t>
      </w:r>
      <w:r w:rsidR="00D122C8">
        <w:t>.</w:t>
      </w:r>
      <w:r w:rsidR="007B79B5">
        <w:t xml:space="preserve"> </w:t>
      </w:r>
      <w:r w:rsidR="00D122C8">
        <w:t xml:space="preserve"> </w:t>
      </w:r>
    </w:p>
    <w:p w14:paraId="57E58181" w14:textId="77777777" w:rsidR="00E95FC7" w:rsidRDefault="00E95FC7" w:rsidP="001003D3"/>
    <w:p w14:paraId="5ED05AE4" w14:textId="57BAFE4C" w:rsidR="00114152" w:rsidRDefault="00475252" w:rsidP="00E95FC7">
      <w:r>
        <w:rPr>
          <w:noProof/>
        </w:rPr>
        <w:drawing>
          <wp:inline distT="0" distB="0" distL="0" distR="0" wp14:anchorId="3BBA87CB" wp14:editId="5CEF6A27">
            <wp:extent cx="3314700" cy="2867025"/>
            <wp:effectExtent l="0" t="0" r="0" b="9525"/>
            <wp:docPr id="515578667" name="Picture 1" descr="Pie chart showing the percentage contribution of each key emission sector to the Trust's total carbon footpri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578667" name="Picture 1" descr="Pie chart showing the percentage contribution of each key emission sector to the Trust's total carbon footprint. "/>
                    <pic:cNvPicPr/>
                  </pic:nvPicPr>
                  <pic:blipFill>
                    <a:blip r:embed="rId16"/>
                    <a:stretch>
                      <a:fillRect/>
                    </a:stretch>
                  </pic:blipFill>
                  <pic:spPr>
                    <a:xfrm>
                      <a:off x="0" y="0"/>
                      <a:ext cx="3314700" cy="2867025"/>
                    </a:xfrm>
                    <a:prstGeom prst="rect">
                      <a:avLst/>
                    </a:prstGeom>
                  </pic:spPr>
                </pic:pic>
              </a:graphicData>
            </a:graphic>
          </wp:inline>
        </w:drawing>
      </w:r>
      <w:r w:rsidR="00B47BF2">
        <w:t xml:space="preserve"> </w:t>
      </w:r>
      <w:r w:rsidR="00456093">
        <w:t xml:space="preserve"> </w:t>
      </w:r>
    </w:p>
    <w:p w14:paraId="240FF801" w14:textId="42205CD3" w:rsidR="000C041F" w:rsidRDefault="00114152" w:rsidP="00114152">
      <w:pPr>
        <w:pStyle w:val="Caption"/>
      </w:pPr>
      <w:r>
        <w:t>Figure 6</w:t>
      </w:r>
      <w:r w:rsidR="00380F56">
        <w:t xml:space="preserve"> The percentage </w:t>
      </w:r>
      <w:r w:rsidR="003F34BD">
        <w:t xml:space="preserve">of carbon each key area </w:t>
      </w:r>
      <w:r w:rsidR="00E80915">
        <w:t xml:space="preserve">contributes to the overall Trust carbon footprint. </w:t>
      </w:r>
    </w:p>
    <w:p w14:paraId="0A0E7A14" w14:textId="4ECBB6B3" w:rsidR="00475252" w:rsidRDefault="00475252" w:rsidP="00475252">
      <w:r>
        <w:t>As in previous years our supply chain</w:t>
      </w:r>
      <w:r w:rsidR="005C1A51">
        <w:t xml:space="preserve"> and procurement </w:t>
      </w:r>
      <w:proofErr w:type="gramStart"/>
      <w:r w:rsidR="004B7632">
        <w:t>contributes</w:t>
      </w:r>
      <w:proofErr w:type="gramEnd"/>
      <w:r w:rsidR="004B7632">
        <w:t xml:space="preserve"> the most to </w:t>
      </w:r>
      <w:r>
        <w:t xml:space="preserve">our </w:t>
      </w:r>
      <w:r w:rsidR="004B7632">
        <w:t xml:space="preserve">overall </w:t>
      </w:r>
      <w:r>
        <w:t>footprin</w:t>
      </w:r>
      <w:r w:rsidR="00AD6133">
        <w:t>t</w:t>
      </w:r>
      <w:r w:rsidR="00E80915">
        <w:t xml:space="preserve"> (Figure 7)</w:t>
      </w:r>
      <w:r w:rsidR="006A6F44">
        <w:t xml:space="preserve">. Travel and transport </w:t>
      </w:r>
      <w:proofErr w:type="gramStart"/>
      <w:r w:rsidR="00DC1E7D">
        <w:t>has</w:t>
      </w:r>
      <w:proofErr w:type="gramEnd"/>
      <w:r w:rsidR="00DC1E7D">
        <w:t xml:space="preserve"> decreased its contribution to the carbon footprint from the previous year by </w:t>
      </w:r>
      <w:r w:rsidR="00C9112F">
        <w:t xml:space="preserve">11% however, the amount </w:t>
      </w:r>
      <w:proofErr w:type="spellStart"/>
      <w:r w:rsidR="00C9112F">
        <w:t>anaesthesia</w:t>
      </w:r>
      <w:proofErr w:type="spellEnd"/>
      <w:r w:rsidR="00C9112F">
        <w:t xml:space="preserve"> and waste contribute to our carbon footprint remains the same. </w:t>
      </w:r>
    </w:p>
    <w:p w14:paraId="601F55ED" w14:textId="77777777" w:rsidR="00380F56" w:rsidRPr="00475252" w:rsidRDefault="00380F56" w:rsidP="00475252"/>
    <w:p w14:paraId="6743AEFC" w14:textId="4ACE8E67" w:rsidR="00114152" w:rsidRDefault="00CF3E68" w:rsidP="00114152">
      <w:pPr>
        <w:pStyle w:val="NHSBody12pt"/>
        <w:keepNext/>
      </w:pPr>
      <w:r>
        <w:rPr>
          <w:noProof/>
        </w:rPr>
        <w:lastRenderedPageBreak/>
        <w:drawing>
          <wp:inline distT="0" distB="0" distL="0" distR="0" wp14:anchorId="7139E2DA" wp14:editId="0ED4D2E7">
            <wp:extent cx="3429000" cy="2181225"/>
            <wp:effectExtent l="0" t="0" r="0" b="9525"/>
            <wp:docPr id="1629433226" name="Picture 1" descr="Pie chart showing the percentage contribution of the 5 key emission sectors supply chain, buildings and energy, travel and transport, anaesthesia and was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433226" name="Picture 1" descr="Pie chart showing the percentage contribution of the 5 key emission sectors supply chain, buildings and energy, travel and transport, anaesthesia and waste. "/>
                    <pic:cNvPicPr/>
                  </pic:nvPicPr>
                  <pic:blipFill>
                    <a:blip r:embed="rId17"/>
                    <a:stretch>
                      <a:fillRect/>
                    </a:stretch>
                  </pic:blipFill>
                  <pic:spPr>
                    <a:xfrm>
                      <a:off x="0" y="0"/>
                      <a:ext cx="3429000" cy="2181225"/>
                    </a:xfrm>
                    <a:prstGeom prst="rect">
                      <a:avLst/>
                    </a:prstGeom>
                  </pic:spPr>
                </pic:pic>
              </a:graphicData>
            </a:graphic>
          </wp:inline>
        </w:drawing>
      </w:r>
    </w:p>
    <w:p w14:paraId="3F432274" w14:textId="4E8A9F9E" w:rsidR="007A159C" w:rsidRDefault="00114152" w:rsidP="00114152">
      <w:pPr>
        <w:pStyle w:val="Caption"/>
      </w:pPr>
      <w:r>
        <w:t>Figure 7</w:t>
      </w:r>
      <w:r w:rsidR="00E9359E">
        <w:t xml:space="preserve"> The percentage of carbon each key emission sector contributes to the overall Trust carbon footprint. </w:t>
      </w:r>
    </w:p>
    <w:p w14:paraId="280DAD87" w14:textId="77777777" w:rsidR="00F33FF4" w:rsidRDefault="00F33FF4" w:rsidP="00907CE5">
      <w:pPr>
        <w:pStyle w:val="NHSBody12pt"/>
      </w:pPr>
    </w:p>
    <w:p w14:paraId="79C6D521" w14:textId="0B7DCA79" w:rsidR="00F33FF4" w:rsidRPr="004B0BDE" w:rsidRDefault="004B0BDE" w:rsidP="004B0BDE">
      <w:pPr>
        <w:pStyle w:val="NHSBody12pt"/>
        <w:ind w:right="-6"/>
        <w:outlineLvl w:val="3"/>
        <w:rPr>
          <w:color w:val="005EB8" w:themeColor="accent2"/>
        </w:rPr>
      </w:pPr>
      <w:r w:rsidRPr="004B0BDE">
        <w:rPr>
          <w:color w:val="005EB8" w:themeColor="accent2"/>
        </w:rPr>
        <w:t xml:space="preserve">2.1 Supply Chain and Procurement </w:t>
      </w:r>
    </w:p>
    <w:p w14:paraId="388EF98D" w14:textId="77777777" w:rsidR="004B0BDE" w:rsidRDefault="004B0BDE" w:rsidP="00907CE5">
      <w:pPr>
        <w:pStyle w:val="NHSBody12pt"/>
      </w:pPr>
    </w:p>
    <w:p w14:paraId="4B6BD172" w14:textId="73CD4883" w:rsidR="0030654F" w:rsidRDefault="0030654F" w:rsidP="00907CE5">
      <w:pPr>
        <w:pStyle w:val="NHSBody12pt"/>
      </w:pPr>
      <w:r>
        <w:t xml:space="preserve">In 2023/24 </w:t>
      </w:r>
      <w:r w:rsidR="000C36A0">
        <w:t xml:space="preserve">there </w:t>
      </w:r>
      <w:r w:rsidR="00627678">
        <w:t>was a 34,618 tonnes CO</w:t>
      </w:r>
      <w:r w:rsidR="00627678">
        <w:rPr>
          <w:vertAlign w:val="subscript"/>
        </w:rPr>
        <w:t>2</w:t>
      </w:r>
      <w:r w:rsidR="00627678">
        <w:t>e increase</w:t>
      </w:r>
      <w:r w:rsidR="00973F76">
        <w:t xml:space="preserve"> from the previous year</w:t>
      </w:r>
      <w:r w:rsidR="00627678">
        <w:t xml:space="preserve"> in </w:t>
      </w:r>
      <w:r w:rsidR="00973F76">
        <w:t>emission</w:t>
      </w:r>
      <w:r w:rsidR="004B7632">
        <w:t>s</w:t>
      </w:r>
      <w:r w:rsidR="00973F76">
        <w:t xml:space="preserve"> related to our supply chain and procurement activity</w:t>
      </w:r>
      <w:r w:rsidR="0077689B">
        <w:t xml:space="preserve"> (Figure 8)</w:t>
      </w:r>
      <w:r w:rsidR="00973F76">
        <w:t xml:space="preserve">. </w:t>
      </w:r>
      <w:r w:rsidR="00070F61">
        <w:t xml:space="preserve">This was mainly driven by </w:t>
      </w:r>
      <w:r w:rsidR="00BD55D0">
        <w:t>increase</w:t>
      </w:r>
      <w:r w:rsidR="004967AB">
        <w:t>d</w:t>
      </w:r>
      <w:r w:rsidR="00BD55D0">
        <w:t xml:space="preserve"> spend on </w:t>
      </w:r>
      <w:r w:rsidR="00070F61">
        <w:t>medical and surgical equipment, technology and stationery</w:t>
      </w:r>
      <w:r w:rsidR="00BD55D0">
        <w:t xml:space="preserve">, </w:t>
      </w:r>
      <w:proofErr w:type="gramStart"/>
      <w:r w:rsidR="00BD55D0">
        <w:t>chemicals</w:t>
      </w:r>
      <w:proofErr w:type="gramEnd"/>
      <w:r w:rsidR="00BD55D0">
        <w:t xml:space="preserve"> and reagents, building and engineering and pharmaceuticals. </w:t>
      </w:r>
      <w:r w:rsidR="004967AB">
        <w:t xml:space="preserve">The bulk of the supply chain carbon footprint comes from </w:t>
      </w:r>
      <w:r w:rsidR="00E12185">
        <w:t xml:space="preserve">pharmaceuticals, </w:t>
      </w:r>
      <w:r w:rsidR="005E600C">
        <w:t xml:space="preserve">medical and surgical equipment, </w:t>
      </w:r>
      <w:r w:rsidR="0077689B">
        <w:t xml:space="preserve">buildings and engineering services and technology and stationery (Figure 9). </w:t>
      </w:r>
    </w:p>
    <w:p w14:paraId="2F9BA88E" w14:textId="77777777" w:rsidR="00535F30" w:rsidRDefault="00535F30" w:rsidP="00535F30">
      <w:pPr>
        <w:pStyle w:val="NHSBody12pt"/>
        <w:keepNext/>
      </w:pPr>
      <w:r>
        <w:rPr>
          <w:noProof/>
        </w:rPr>
        <w:drawing>
          <wp:inline distT="0" distB="0" distL="0" distR="0" wp14:anchorId="2F9EB916" wp14:editId="1027BD9D">
            <wp:extent cx="6836410" cy="3630295"/>
            <wp:effectExtent l="0" t="0" r="2540" b="8255"/>
            <wp:docPr id="74029629" name="Picture 1" descr="Bar chart showing the carbon emitted per level 1 e class category for each financial year from 2019-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9629" name="Picture 1" descr="Bar chart showing the carbon emitted per level 1 e class category for each financial year from 2019-2024. "/>
                    <pic:cNvPicPr/>
                  </pic:nvPicPr>
                  <pic:blipFill>
                    <a:blip r:embed="rId18"/>
                    <a:stretch>
                      <a:fillRect/>
                    </a:stretch>
                  </pic:blipFill>
                  <pic:spPr>
                    <a:xfrm>
                      <a:off x="0" y="0"/>
                      <a:ext cx="6836410" cy="3630295"/>
                    </a:xfrm>
                    <a:prstGeom prst="rect">
                      <a:avLst/>
                    </a:prstGeom>
                  </pic:spPr>
                </pic:pic>
              </a:graphicData>
            </a:graphic>
          </wp:inline>
        </w:drawing>
      </w:r>
    </w:p>
    <w:p w14:paraId="405081DE" w14:textId="7FFF085A" w:rsidR="00C04F5F" w:rsidRDefault="00535F30" w:rsidP="00535F30">
      <w:pPr>
        <w:pStyle w:val="Caption"/>
      </w:pPr>
      <w:r>
        <w:t>Figure 8 Carbon emitted per level 1 e class category.</w:t>
      </w:r>
    </w:p>
    <w:p w14:paraId="4C99CC51" w14:textId="77777777" w:rsidR="000C36A0" w:rsidRDefault="000C36A0" w:rsidP="000C36A0">
      <w:pPr>
        <w:keepNext/>
      </w:pPr>
      <w:r>
        <w:rPr>
          <w:noProof/>
        </w:rPr>
        <w:lastRenderedPageBreak/>
        <w:drawing>
          <wp:inline distT="0" distB="0" distL="0" distR="0" wp14:anchorId="025F78AC" wp14:editId="1A4FFD46">
            <wp:extent cx="4429125" cy="2990850"/>
            <wp:effectExtent l="0" t="0" r="9525" b="0"/>
            <wp:docPr id="841548772" name="Picture 1" descr="Pie chart showing the percentage contribution of level 1 e class categories to the whole supply chain carbon footpri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48772" name="Picture 1" descr="Pie chart showing the percentage contribution of level 1 e class categories to the whole supply chain carbon footprint. "/>
                    <pic:cNvPicPr/>
                  </pic:nvPicPr>
                  <pic:blipFill>
                    <a:blip r:embed="rId19"/>
                    <a:stretch>
                      <a:fillRect/>
                    </a:stretch>
                  </pic:blipFill>
                  <pic:spPr>
                    <a:xfrm>
                      <a:off x="0" y="0"/>
                      <a:ext cx="4429125" cy="2990850"/>
                    </a:xfrm>
                    <a:prstGeom prst="rect">
                      <a:avLst/>
                    </a:prstGeom>
                  </pic:spPr>
                </pic:pic>
              </a:graphicData>
            </a:graphic>
          </wp:inline>
        </w:drawing>
      </w:r>
    </w:p>
    <w:p w14:paraId="5A39833A" w14:textId="741A5A5F" w:rsidR="000C36A0" w:rsidRDefault="000C36A0" w:rsidP="000C36A0">
      <w:pPr>
        <w:pStyle w:val="Caption"/>
      </w:pPr>
      <w:r>
        <w:t>Figure 9</w:t>
      </w:r>
      <w:r w:rsidR="0077689B">
        <w:t xml:space="preserve"> The percentage of carbon each level 1 e class category contributes to supply chain and procurement’s carbon footprint. </w:t>
      </w:r>
    </w:p>
    <w:p w14:paraId="3FDBADE3" w14:textId="28C1D8F1" w:rsidR="0077689B" w:rsidRPr="0077689B" w:rsidRDefault="0077689B" w:rsidP="0077689B">
      <w:pPr>
        <w:pStyle w:val="ListParagraph"/>
        <w:numPr>
          <w:ilvl w:val="1"/>
          <w:numId w:val="30"/>
        </w:numPr>
        <w:outlineLvl w:val="3"/>
        <w:rPr>
          <w:color w:val="005EB8" w:themeColor="accent2"/>
        </w:rPr>
      </w:pPr>
      <w:r w:rsidRPr="0077689B">
        <w:rPr>
          <w:color w:val="005EB8" w:themeColor="accent2"/>
        </w:rPr>
        <w:t>Buildings and Energy</w:t>
      </w:r>
    </w:p>
    <w:p w14:paraId="2F674B55" w14:textId="77777777" w:rsidR="0077689B" w:rsidRDefault="0077689B" w:rsidP="0077689B">
      <w:pPr>
        <w:rPr>
          <w:color w:val="005EB8" w:themeColor="accent2"/>
        </w:rPr>
      </w:pPr>
    </w:p>
    <w:p w14:paraId="0CBCCF1E" w14:textId="1EA0B2CF" w:rsidR="0077689B" w:rsidRPr="00A26320" w:rsidRDefault="0077689B" w:rsidP="0077689B">
      <w:r w:rsidRPr="0077689B">
        <w:t>In 2023/24</w:t>
      </w:r>
      <w:r w:rsidR="00A4670C">
        <w:t xml:space="preserve">, the Trust reduced carbon emitted through its electricity, </w:t>
      </w:r>
      <w:proofErr w:type="gramStart"/>
      <w:r w:rsidR="00A4670C">
        <w:t>gas</w:t>
      </w:r>
      <w:proofErr w:type="gramEnd"/>
      <w:r w:rsidR="00A4670C">
        <w:t xml:space="preserve"> and oil consumption by </w:t>
      </w:r>
      <w:r w:rsidR="0083466D">
        <w:t>2,0</w:t>
      </w:r>
      <w:r w:rsidR="00BD2BBB">
        <w:t>68</w:t>
      </w:r>
      <w:r w:rsidR="0083466D">
        <w:t xml:space="preserve"> </w:t>
      </w:r>
      <w:proofErr w:type="spellStart"/>
      <w:r w:rsidR="0083466D">
        <w:t>tonnes</w:t>
      </w:r>
      <w:proofErr w:type="spellEnd"/>
      <w:r w:rsidR="0083466D">
        <w:t xml:space="preserve"> CO</w:t>
      </w:r>
      <w:r w:rsidR="0083466D">
        <w:rPr>
          <w:vertAlign w:val="subscript"/>
        </w:rPr>
        <w:t>2</w:t>
      </w:r>
      <w:r w:rsidR="0083466D">
        <w:t xml:space="preserve">e through the decommissioning of gas boilers on site and </w:t>
      </w:r>
      <w:r w:rsidR="00007627">
        <w:t>delivery of</w:t>
      </w:r>
      <w:r w:rsidR="0083466D">
        <w:t xml:space="preserve"> </w:t>
      </w:r>
      <w:r w:rsidR="00007627">
        <w:t>energy efficiency and renewable energy projects such as LED lighting, solar panels, double glazing and insulation</w:t>
      </w:r>
      <w:r w:rsidR="00A26320">
        <w:t xml:space="preserve"> (Figure 10)</w:t>
      </w:r>
      <w:r w:rsidR="00007627">
        <w:t xml:space="preserve">. The Trust consumed </w:t>
      </w:r>
      <w:r w:rsidR="00BD2BBB">
        <w:t>slightly more water in 2023/24 than the previous year</w:t>
      </w:r>
      <w:r w:rsidR="00A26320">
        <w:t xml:space="preserve"> which led to a 60 </w:t>
      </w:r>
      <w:proofErr w:type="spellStart"/>
      <w:r w:rsidR="00A26320">
        <w:t>tonne</w:t>
      </w:r>
      <w:proofErr w:type="spellEnd"/>
      <w:r w:rsidR="00A26320">
        <w:t xml:space="preserve"> CO</w:t>
      </w:r>
      <w:r w:rsidR="00A26320">
        <w:rPr>
          <w:vertAlign w:val="subscript"/>
        </w:rPr>
        <w:t>2</w:t>
      </w:r>
      <w:r w:rsidR="00A26320">
        <w:t xml:space="preserve">e increase (Figure 11).  </w:t>
      </w:r>
    </w:p>
    <w:p w14:paraId="4B1BCA51" w14:textId="77777777" w:rsidR="008F0810" w:rsidRDefault="008F0810" w:rsidP="0077689B"/>
    <w:p w14:paraId="6BC871B1" w14:textId="77777777" w:rsidR="008F0810" w:rsidRDefault="008F0810" w:rsidP="008F0810">
      <w:pPr>
        <w:keepNext/>
      </w:pPr>
      <w:r>
        <w:rPr>
          <w:noProof/>
        </w:rPr>
        <w:drawing>
          <wp:inline distT="0" distB="0" distL="0" distR="0" wp14:anchorId="526200B5" wp14:editId="122C915B">
            <wp:extent cx="6836410" cy="2366645"/>
            <wp:effectExtent l="0" t="0" r="2540" b="0"/>
            <wp:docPr id="275761025" name="Picture 1" descr="Two bar charts showing carbon emissions related to energy and water consumption. The first demonstrates carbon emitted for electricity, gas, oil and biodiesel consumption per financial year from 2019-2024. The second demonstrates carbon emitted per water consumed and waste water produced per financial year from 2019-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61025" name="Picture 1" descr="Two bar charts showing carbon emissions related to energy and water consumption. The first demonstrates carbon emitted for electricity, gas, oil and biodiesel consumption per financial year from 2019-2024. The second demonstrates carbon emitted per water consumed and waste water produced per financial year from 2019-2024. "/>
                    <pic:cNvPicPr/>
                  </pic:nvPicPr>
                  <pic:blipFill>
                    <a:blip r:embed="rId20"/>
                    <a:stretch>
                      <a:fillRect/>
                    </a:stretch>
                  </pic:blipFill>
                  <pic:spPr>
                    <a:xfrm>
                      <a:off x="0" y="0"/>
                      <a:ext cx="6836410" cy="2366645"/>
                    </a:xfrm>
                    <a:prstGeom prst="rect">
                      <a:avLst/>
                    </a:prstGeom>
                  </pic:spPr>
                </pic:pic>
              </a:graphicData>
            </a:graphic>
          </wp:inline>
        </w:drawing>
      </w:r>
    </w:p>
    <w:p w14:paraId="5E196970" w14:textId="138D0274" w:rsidR="008F0810" w:rsidRPr="0077689B" w:rsidRDefault="008F0810" w:rsidP="008F0810">
      <w:pPr>
        <w:pStyle w:val="Caption"/>
        <w:rPr>
          <w:color w:val="auto"/>
        </w:rPr>
      </w:pPr>
      <w:proofErr w:type="gramStart"/>
      <w:r>
        <w:t>Figure</w:t>
      </w:r>
      <w:proofErr w:type="gramEnd"/>
      <w:r>
        <w:t xml:space="preserve"> 10 and 11 Carbon emitted through the Trust’s electricity, gas</w:t>
      </w:r>
      <w:r w:rsidR="00FA241D">
        <w:t xml:space="preserve">, oil, biodiesel and water consumption as well as waste water produced for each financial year from 2019/20 to 2023/24. </w:t>
      </w:r>
    </w:p>
    <w:p w14:paraId="5284B4CE" w14:textId="4AAD94E2" w:rsidR="0077689B" w:rsidRDefault="009F6DF6" w:rsidP="004B7632">
      <w:pPr>
        <w:pStyle w:val="ListParagraph"/>
        <w:numPr>
          <w:ilvl w:val="1"/>
          <w:numId w:val="30"/>
        </w:numPr>
        <w:ind w:left="760" w:hanging="403"/>
        <w:outlineLvl w:val="3"/>
        <w:rPr>
          <w:color w:val="005EB8" w:themeColor="accent2"/>
        </w:rPr>
      </w:pPr>
      <w:r w:rsidRPr="009F6DF6">
        <w:rPr>
          <w:color w:val="005EB8" w:themeColor="accent2"/>
        </w:rPr>
        <w:t>Travel and Transport</w:t>
      </w:r>
    </w:p>
    <w:p w14:paraId="20CFA5CF" w14:textId="77777777" w:rsidR="009F6DF6" w:rsidRDefault="009F6DF6" w:rsidP="004B5DEB">
      <w:pPr>
        <w:rPr>
          <w:color w:val="005EB8" w:themeColor="accent2"/>
        </w:rPr>
      </w:pPr>
    </w:p>
    <w:p w14:paraId="18C8E694" w14:textId="350682B4" w:rsidR="004B5DEB" w:rsidRPr="00A8623C" w:rsidRDefault="00A8623C" w:rsidP="004B5DEB">
      <w:r w:rsidRPr="00A8623C">
        <w:t xml:space="preserve">The overall carbon emissions associated with travel and transport activity increased by 40 </w:t>
      </w:r>
      <w:proofErr w:type="spellStart"/>
      <w:r w:rsidRPr="00A8623C">
        <w:t>tonnes</w:t>
      </w:r>
      <w:proofErr w:type="spellEnd"/>
      <w:r w:rsidRPr="00A8623C">
        <w:t xml:space="preserve"> CO</w:t>
      </w:r>
      <w:r w:rsidRPr="00A8623C">
        <w:rPr>
          <w:vertAlign w:val="subscript"/>
        </w:rPr>
        <w:t>2</w:t>
      </w:r>
      <w:r w:rsidRPr="00A8623C">
        <w:t>e compared to the previous year</w:t>
      </w:r>
      <w:r>
        <w:t xml:space="preserve"> (Figure 12). </w:t>
      </w:r>
      <w:r w:rsidR="000D33DB">
        <w:t>This increase</w:t>
      </w:r>
      <w:r w:rsidR="002B27EF">
        <w:t xml:space="preserve"> was driven by an increase in miles travelled </w:t>
      </w:r>
      <w:r w:rsidR="00F42377">
        <w:t>through</w:t>
      </w:r>
      <w:r w:rsidR="002B27EF">
        <w:t xml:space="preserve"> </w:t>
      </w:r>
      <w:r w:rsidR="007D718F">
        <w:t>staff commute</w:t>
      </w:r>
      <w:r w:rsidR="00F42377">
        <w:t>, trust fleet</w:t>
      </w:r>
      <w:r w:rsidR="007D718F">
        <w:t xml:space="preserve"> </w:t>
      </w:r>
      <w:r w:rsidR="007D16C6">
        <w:t xml:space="preserve">and business travel via staff using their own vehicles and </w:t>
      </w:r>
      <w:r w:rsidR="00F42377">
        <w:t>travelling via air</w:t>
      </w:r>
      <w:r w:rsidR="00E0010B">
        <w:t xml:space="preserve"> (Figure 13, 15). </w:t>
      </w:r>
      <w:r w:rsidR="007D16C6">
        <w:t xml:space="preserve"> </w:t>
      </w:r>
    </w:p>
    <w:p w14:paraId="7CB7F919" w14:textId="77777777" w:rsidR="004C40EB" w:rsidRDefault="004C40EB" w:rsidP="004C40EB">
      <w:pPr>
        <w:keepNext/>
      </w:pPr>
      <w:r>
        <w:rPr>
          <w:noProof/>
        </w:rPr>
        <w:lastRenderedPageBreak/>
        <w:drawing>
          <wp:inline distT="0" distB="0" distL="0" distR="0" wp14:anchorId="2902B7DE" wp14:editId="22B216F8">
            <wp:extent cx="6836410" cy="4582160"/>
            <wp:effectExtent l="0" t="0" r="2540" b="8890"/>
            <wp:docPr id="464594260" name="Picture 1" descr="Four bar charts showing carbon emissions and miles travelled per financial year from 2019-2024. The first shows carbon emitted from travel: patient and visitor travel, staff commute, fleet, grey fleet and business travel. The second shows miles travelled: patient and visitor travel, staff commute from walking, cycling, driving, taking the bus, motorcycling and train. Third graph shows miles travelled from fleet vehicles split out by petrol, diesel, hybrid and electric vehicles. The fourth graph shows miles travelled for business purposes via grey fleet petrol, diesel and hybrid vehicles, rail and 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4260" name="Picture 1" descr="Four bar charts showing carbon emissions and miles travelled per financial year from 2019-2024. The first shows carbon emitted from travel: patient and visitor travel, staff commute, fleet, grey fleet and business travel. The second shows miles travelled: patient and visitor travel, staff commute from walking, cycling, driving, taking the bus, motorcycling and train. Third graph shows miles travelled from fleet vehicles split out by petrol, diesel, hybrid and electric vehicles. The fourth graph shows miles travelled for business purposes via grey fleet petrol, diesel and hybrid vehicles, rail and air. "/>
                    <pic:cNvPicPr/>
                  </pic:nvPicPr>
                  <pic:blipFill>
                    <a:blip r:embed="rId21"/>
                    <a:stretch>
                      <a:fillRect/>
                    </a:stretch>
                  </pic:blipFill>
                  <pic:spPr>
                    <a:xfrm>
                      <a:off x="0" y="0"/>
                      <a:ext cx="6836410" cy="4582160"/>
                    </a:xfrm>
                    <a:prstGeom prst="rect">
                      <a:avLst/>
                    </a:prstGeom>
                  </pic:spPr>
                </pic:pic>
              </a:graphicData>
            </a:graphic>
          </wp:inline>
        </w:drawing>
      </w:r>
    </w:p>
    <w:p w14:paraId="77750578" w14:textId="018F6571" w:rsidR="004B5DEB" w:rsidRPr="004B5DEB" w:rsidRDefault="004C40EB" w:rsidP="004C40EB">
      <w:pPr>
        <w:pStyle w:val="Caption"/>
        <w:rPr>
          <w:color w:val="005EB8" w:themeColor="accent2"/>
        </w:rPr>
      </w:pPr>
      <w:r>
        <w:t xml:space="preserve">Figure 12, 13, 14 and 15 (top left, top right, </w:t>
      </w:r>
      <w:r w:rsidR="00903957">
        <w:t xml:space="preserve">bottom left, bottom right) The carbon emitted from each type of travel and the distance travelled by staff, </w:t>
      </w:r>
      <w:proofErr w:type="gramStart"/>
      <w:r w:rsidR="00903957">
        <w:t>patients</w:t>
      </w:r>
      <w:proofErr w:type="gramEnd"/>
      <w:r w:rsidR="00903957">
        <w:t xml:space="preserve"> and visitors to get to site </w:t>
      </w:r>
      <w:r w:rsidR="00260C19">
        <w:t xml:space="preserve">and for business for each financial year from 2019/20 to 2023/24.  </w:t>
      </w:r>
      <w:r w:rsidR="00903957">
        <w:t xml:space="preserve"> </w:t>
      </w:r>
    </w:p>
    <w:p w14:paraId="75E76F81" w14:textId="06E3E88F" w:rsidR="009F6DF6" w:rsidRDefault="009F6DF6" w:rsidP="004B7632">
      <w:pPr>
        <w:pStyle w:val="ListParagraph"/>
        <w:numPr>
          <w:ilvl w:val="1"/>
          <w:numId w:val="30"/>
        </w:numPr>
        <w:ind w:left="760" w:hanging="403"/>
        <w:outlineLvl w:val="3"/>
        <w:rPr>
          <w:color w:val="005EB8" w:themeColor="accent2"/>
        </w:rPr>
      </w:pPr>
      <w:r>
        <w:rPr>
          <w:color w:val="005EB8" w:themeColor="accent2"/>
        </w:rPr>
        <w:t>Medicines</w:t>
      </w:r>
    </w:p>
    <w:p w14:paraId="06B8CA4D" w14:textId="77777777" w:rsidR="004A4DB0" w:rsidRDefault="004A4DB0" w:rsidP="004A4DB0">
      <w:pPr>
        <w:rPr>
          <w:color w:val="005EB8" w:themeColor="accent2"/>
        </w:rPr>
      </w:pPr>
    </w:p>
    <w:p w14:paraId="0BBE2EA1" w14:textId="7CB365B3" w:rsidR="00114849" w:rsidRPr="00E501CA" w:rsidRDefault="00D12428" w:rsidP="004A4DB0">
      <w:pPr>
        <w:rPr>
          <w:lang w:val="en-GB"/>
        </w:rPr>
      </w:pPr>
      <w:r>
        <w:t>Medicines</w:t>
      </w:r>
      <w:r w:rsidR="00E501CA">
        <w:t xml:space="preserve">, including </w:t>
      </w:r>
      <w:proofErr w:type="spellStart"/>
      <w:r w:rsidR="00FC315D">
        <w:t>anaesthes</w:t>
      </w:r>
      <w:r w:rsidR="00E501CA">
        <w:t>tics</w:t>
      </w:r>
      <w:proofErr w:type="spellEnd"/>
      <w:r w:rsidR="00E501CA">
        <w:t xml:space="preserve"> and inhalers,</w:t>
      </w:r>
      <w:r w:rsidR="00FC315D">
        <w:t xml:space="preserve"> </w:t>
      </w:r>
      <w:r>
        <w:t>accounted for 1</w:t>
      </w:r>
      <w:r w:rsidR="00FC315D">
        <w:t>8</w:t>
      </w:r>
      <w:r>
        <w:t xml:space="preserve">% of the Trust’s carbon footprint in 2023/24 (Figure 6). </w:t>
      </w:r>
      <w:r w:rsidR="001E1F74">
        <w:t>The total carbon footprint of medicines purchased by the Trust increased by 2,</w:t>
      </w:r>
      <w:r w:rsidR="006B6ED7">
        <w:t>494</w:t>
      </w:r>
      <w:r w:rsidR="001E1F74">
        <w:t xml:space="preserve"> </w:t>
      </w:r>
      <w:proofErr w:type="spellStart"/>
      <w:r w:rsidR="001E1F74">
        <w:t>tonnes</w:t>
      </w:r>
      <w:proofErr w:type="spellEnd"/>
      <w:r w:rsidR="001E1F74">
        <w:t xml:space="preserve"> CO</w:t>
      </w:r>
      <w:r w:rsidR="00A37685" w:rsidRPr="00A37685">
        <w:rPr>
          <w:rFonts w:eastAsiaTheme="minorEastAsia"/>
          <w:vertAlign w:val="subscript"/>
        </w:rPr>
        <w:t>2</w:t>
      </w:r>
      <w:r w:rsidR="001E1F74">
        <w:t xml:space="preserve">e in 2023/24 </w:t>
      </w:r>
      <w:r w:rsidR="00B01D7C">
        <w:t>due to the increase in spend on medicines and increase in piped Entonox</w:t>
      </w:r>
      <w:r w:rsidR="00D73B80">
        <w:t xml:space="preserve"> (Figure 16)</w:t>
      </w:r>
      <w:r w:rsidR="00B01D7C">
        <w:t xml:space="preserve">. </w:t>
      </w:r>
      <w:r w:rsidR="00E8040B">
        <w:t xml:space="preserve">Entonox </w:t>
      </w:r>
      <w:r w:rsidR="00327CCA">
        <w:t xml:space="preserve">use </w:t>
      </w:r>
      <w:r w:rsidR="00E8040B">
        <w:t xml:space="preserve">across the Trust is still significantly high particularly in our </w:t>
      </w:r>
      <w:r w:rsidR="00327CCA">
        <w:t xml:space="preserve">Central Delivery Suite (CDS) and Maternity </w:t>
      </w:r>
      <w:r w:rsidR="00114849">
        <w:t xml:space="preserve">Services </w:t>
      </w:r>
      <w:r w:rsidR="00327CCA">
        <w:t xml:space="preserve">(Figure 16). </w:t>
      </w:r>
      <w:proofErr w:type="spellStart"/>
      <w:r w:rsidR="00607F77">
        <w:t>Anaesthetists</w:t>
      </w:r>
      <w:proofErr w:type="spellEnd"/>
      <w:r w:rsidR="00B7230C">
        <w:t xml:space="preserve"> took effective action</w:t>
      </w:r>
      <w:r w:rsidR="00607F77">
        <w:t xml:space="preserve"> in 2023/24 to </w:t>
      </w:r>
      <w:r w:rsidR="00B7230C">
        <w:t xml:space="preserve">decommission the highest carbon </w:t>
      </w:r>
      <w:r w:rsidR="00544514">
        <w:t>volatile agents used in theatres (Figure 17)</w:t>
      </w:r>
      <w:r w:rsidR="00327CCA">
        <w:t xml:space="preserve"> and </w:t>
      </w:r>
      <w:r w:rsidR="00114849">
        <w:t>are taking action to identify sources of medical gas waste</w:t>
      </w:r>
      <w:r w:rsidR="00327CCA">
        <w:t xml:space="preserve"> within CDS and Maternit</w:t>
      </w:r>
      <w:r w:rsidR="00114849">
        <w:t>y</w:t>
      </w:r>
      <w:r w:rsidR="00327CCA">
        <w:t xml:space="preserve">. </w:t>
      </w:r>
    </w:p>
    <w:p w14:paraId="60356586" w14:textId="77777777" w:rsidR="00114849" w:rsidRDefault="00114849" w:rsidP="004A4DB0"/>
    <w:p w14:paraId="2F01F807" w14:textId="10806F50" w:rsidR="003556B3" w:rsidRPr="003556B3" w:rsidRDefault="00327CCA" w:rsidP="004A4DB0">
      <w:r>
        <w:t xml:space="preserve">Despite </w:t>
      </w:r>
      <w:r w:rsidR="00AB5349">
        <w:t xml:space="preserve">the highest carbon inhalers </w:t>
      </w:r>
      <w:r w:rsidR="00754E40">
        <w:t>(</w:t>
      </w:r>
      <w:proofErr w:type="spellStart"/>
      <w:r w:rsidR="00754E40">
        <w:t>pDMI</w:t>
      </w:r>
      <w:proofErr w:type="spellEnd"/>
      <w:r w:rsidR="00754E40">
        <w:t xml:space="preserve">) </w:t>
      </w:r>
      <w:r w:rsidR="00114849">
        <w:t xml:space="preserve">being </w:t>
      </w:r>
      <w:r w:rsidR="00754E40">
        <w:t>prescribed at the highest volume</w:t>
      </w:r>
      <w:r w:rsidR="008F3E12">
        <w:t>,</w:t>
      </w:r>
      <w:r w:rsidR="00754E40">
        <w:t xml:space="preserve"> the Trust has increased the number of lower carbon inhalers it prescribes to patients (</w:t>
      </w:r>
      <w:r w:rsidR="008F3E12">
        <w:t xml:space="preserve">DPI, </w:t>
      </w:r>
      <w:r w:rsidR="00754E40">
        <w:t xml:space="preserve">Figure 18). The </w:t>
      </w:r>
      <w:r w:rsidR="00770455">
        <w:t>Respiratory department are currently undertaking a project to address the barriers to prescribing lower carbon inhalers</w:t>
      </w:r>
      <w:r w:rsidR="008F3E12">
        <w:t>,</w:t>
      </w:r>
      <w:r w:rsidR="00770455">
        <w:t xml:space="preserve"> making it easier for staff to identify and prescribe lower carbon options. </w:t>
      </w:r>
      <w:r w:rsidR="00754E40">
        <w:t xml:space="preserve">  </w:t>
      </w:r>
      <w:r w:rsidR="00AB5349">
        <w:t xml:space="preserve"> </w:t>
      </w:r>
      <w:r w:rsidR="00544514">
        <w:t xml:space="preserve"> </w:t>
      </w:r>
      <w:r w:rsidR="00607F77">
        <w:t xml:space="preserve"> </w:t>
      </w:r>
    </w:p>
    <w:p w14:paraId="7DD7072A" w14:textId="77777777" w:rsidR="00CF22BD" w:rsidRDefault="00CF22BD" w:rsidP="00CF22BD">
      <w:pPr>
        <w:keepNext/>
      </w:pPr>
      <w:r>
        <w:rPr>
          <w:noProof/>
        </w:rPr>
        <w:lastRenderedPageBreak/>
        <w:drawing>
          <wp:inline distT="0" distB="0" distL="0" distR="0" wp14:anchorId="35A1EC82" wp14:editId="37EEE243">
            <wp:extent cx="6836410" cy="1578610"/>
            <wp:effectExtent l="0" t="0" r="2540" b="2540"/>
            <wp:docPr id="1032454818" name="Picture 1" descr="Three graphs showing the impact of medicines prescribed for each financial year for 2019-2024. The first graph shows the volume of entonox and nitrous oxide purchased, the second shows the volume of sevoflurane, desflurane and isoflurane and the third shows number of inhalers prescribed: pressurised metered dose inhalers, dry powder inhalers, soft mist inhalers and breath actuated inhal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54818" name="Picture 1" descr="Three graphs showing the impact of medicines prescribed for each financial year for 2019-2024. The first graph shows the volume of entonox and nitrous oxide purchased, the second shows the volume of sevoflurane, desflurane and isoflurane and the third shows number of inhalers prescribed: pressurised metered dose inhalers, dry powder inhalers, soft mist inhalers and breath actuated inhalers. "/>
                    <pic:cNvPicPr/>
                  </pic:nvPicPr>
                  <pic:blipFill>
                    <a:blip r:embed="rId22"/>
                    <a:stretch>
                      <a:fillRect/>
                    </a:stretch>
                  </pic:blipFill>
                  <pic:spPr>
                    <a:xfrm>
                      <a:off x="0" y="0"/>
                      <a:ext cx="6836410" cy="1578610"/>
                    </a:xfrm>
                    <a:prstGeom prst="rect">
                      <a:avLst/>
                    </a:prstGeom>
                  </pic:spPr>
                </pic:pic>
              </a:graphicData>
            </a:graphic>
          </wp:inline>
        </w:drawing>
      </w:r>
    </w:p>
    <w:p w14:paraId="326DE105" w14:textId="2A3B0051" w:rsidR="004A4DB0" w:rsidRPr="004A4DB0" w:rsidRDefault="00CF22BD" w:rsidP="00CF22BD">
      <w:pPr>
        <w:pStyle w:val="Caption"/>
        <w:rPr>
          <w:color w:val="auto"/>
        </w:rPr>
      </w:pPr>
      <w:r>
        <w:t xml:space="preserve">Figure 16, 17 and 18 The volume of </w:t>
      </w:r>
      <w:proofErr w:type="spellStart"/>
      <w:r>
        <w:t>anaesthesia</w:t>
      </w:r>
      <w:proofErr w:type="spellEnd"/>
      <w:r>
        <w:t xml:space="preserve"> (Nitrous Oxide, Entonox, Sevoflurane, Desflurane and Isoflurane</w:t>
      </w:r>
      <w:r w:rsidR="008F3E12">
        <w:t>)</w:t>
      </w:r>
      <w:r>
        <w:t xml:space="preserve"> p</w:t>
      </w:r>
      <w:r w:rsidR="003556B3">
        <w:t xml:space="preserve">urchased by the Trust and the number of inhalers prescribed to patients each financial year. </w:t>
      </w:r>
    </w:p>
    <w:p w14:paraId="4C5458BE" w14:textId="4C1CF274" w:rsidR="009F6DF6" w:rsidRPr="009F6DF6" w:rsidRDefault="009F6DF6" w:rsidP="004B7632">
      <w:pPr>
        <w:pStyle w:val="ListParagraph"/>
        <w:numPr>
          <w:ilvl w:val="1"/>
          <w:numId w:val="30"/>
        </w:numPr>
        <w:ind w:left="760" w:hanging="403"/>
        <w:outlineLvl w:val="3"/>
        <w:rPr>
          <w:color w:val="005EB8" w:themeColor="accent2"/>
        </w:rPr>
      </w:pPr>
      <w:r>
        <w:rPr>
          <w:color w:val="005EB8" w:themeColor="accent2"/>
        </w:rPr>
        <w:t>Waste</w:t>
      </w:r>
    </w:p>
    <w:p w14:paraId="47CD0387" w14:textId="77777777" w:rsidR="0077689B" w:rsidRDefault="0077689B" w:rsidP="0077689B">
      <w:pPr>
        <w:rPr>
          <w:color w:val="005EB8" w:themeColor="accent2"/>
        </w:rPr>
      </w:pPr>
    </w:p>
    <w:p w14:paraId="40AD0175" w14:textId="77777777" w:rsidR="007B59C1" w:rsidRDefault="004874C8" w:rsidP="0077689B">
      <w:r w:rsidRPr="004874C8">
        <w:t xml:space="preserve">The carbon footprint of the waste collected from the Trust in 2023/24 reduced by 213 </w:t>
      </w:r>
      <w:proofErr w:type="spellStart"/>
      <w:r w:rsidRPr="004874C8">
        <w:t>tonnes</w:t>
      </w:r>
      <w:proofErr w:type="spellEnd"/>
      <w:r w:rsidRPr="004874C8">
        <w:t xml:space="preserve"> CO</w:t>
      </w:r>
      <w:r w:rsidRPr="004874C8">
        <w:rPr>
          <w:vertAlign w:val="subscript"/>
        </w:rPr>
        <w:t>2</w:t>
      </w:r>
      <w:r w:rsidRPr="004874C8">
        <w:t>e compared to the previous year</w:t>
      </w:r>
      <w:r w:rsidR="00206DFD">
        <w:t xml:space="preserve"> due to </w:t>
      </w:r>
      <w:r w:rsidR="00927DCF">
        <w:t>2</w:t>
      </w:r>
      <w:r w:rsidR="005C7963">
        <w:t>57</w:t>
      </w:r>
      <w:r w:rsidR="00927DCF">
        <w:t xml:space="preserve"> </w:t>
      </w:r>
      <w:proofErr w:type="spellStart"/>
      <w:r w:rsidR="00927DCF">
        <w:t>tonne</w:t>
      </w:r>
      <w:r w:rsidR="005C7963">
        <w:t>s</w:t>
      </w:r>
      <w:proofErr w:type="spellEnd"/>
      <w:r w:rsidR="00927DCF">
        <w:t xml:space="preserve"> </w:t>
      </w:r>
      <w:r w:rsidR="005C7963">
        <w:t>less</w:t>
      </w:r>
      <w:r w:rsidR="001F799A">
        <w:t xml:space="preserve"> waste being sent for high temperature incineration </w:t>
      </w:r>
      <w:r w:rsidR="007A6995">
        <w:t xml:space="preserve">and a </w:t>
      </w:r>
      <w:proofErr w:type="gramStart"/>
      <w:r w:rsidR="007A6995">
        <w:t xml:space="preserve">135 </w:t>
      </w:r>
      <w:proofErr w:type="spellStart"/>
      <w:r w:rsidR="007A6995">
        <w:t>tonne</w:t>
      </w:r>
      <w:proofErr w:type="spellEnd"/>
      <w:proofErr w:type="gramEnd"/>
      <w:r w:rsidR="007A6995">
        <w:t xml:space="preserve"> reduction in waste being sent for alternative treatment; the two most carbon intensive waste treatment processes</w:t>
      </w:r>
      <w:r w:rsidR="003724F6">
        <w:t xml:space="preserve"> (</w:t>
      </w:r>
      <w:r w:rsidR="006E6065">
        <w:t>Figure 19 and 20)</w:t>
      </w:r>
      <w:r w:rsidRPr="004874C8">
        <w:t xml:space="preserve">. </w:t>
      </w:r>
      <w:r w:rsidR="002A008A">
        <w:t xml:space="preserve">This apparent reduction may be explained by </w:t>
      </w:r>
      <w:r w:rsidR="006E6065">
        <w:t>the return of offensive waste</w:t>
      </w:r>
      <w:r w:rsidR="002A008A">
        <w:t xml:space="preserve"> classifi</w:t>
      </w:r>
      <w:r w:rsidR="006E6065">
        <w:t>cation</w:t>
      </w:r>
      <w:r w:rsidR="002A008A">
        <w:t xml:space="preserve"> </w:t>
      </w:r>
      <w:r w:rsidR="003724F6">
        <w:t xml:space="preserve">in 2023/24 </w:t>
      </w:r>
      <w:r w:rsidR="006E6065">
        <w:t xml:space="preserve">following a successful waste audit whereby all clinical waste no longer had to be </w:t>
      </w:r>
      <w:r w:rsidR="002A008A">
        <w:t>classified for high temperature incineration</w:t>
      </w:r>
      <w:r w:rsidR="006E6065">
        <w:t>, as was the case in 2022/23</w:t>
      </w:r>
      <w:r w:rsidR="002A008A">
        <w:t xml:space="preserve">. It </w:t>
      </w:r>
      <w:r w:rsidR="006E6065">
        <w:t>can</w:t>
      </w:r>
      <w:r w:rsidR="002A008A">
        <w:t xml:space="preserve"> also be explained by improved segregation of clinical waste</w:t>
      </w:r>
      <w:r w:rsidR="00745914">
        <w:t xml:space="preserve"> as non-infectious</w:t>
      </w:r>
      <w:r w:rsidR="002A008A">
        <w:t xml:space="preserve"> by staff</w:t>
      </w:r>
      <w:r w:rsidR="006E6065">
        <w:t xml:space="preserve"> which is reflected </w:t>
      </w:r>
      <w:r w:rsidR="000206D5">
        <w:t xml:space="preserve">in the progress made towards </w:t>
      </w:r>
      <w:r w:rsidR="001C5897">
        <w:t>NHS England’s</w:t>
      </w:r>
      <w:r w:rsidR="000206D5">
        <w:t xml:space="preserve"> clinical waste segregation target (Figure</w:t>
      </w:r>
      <w:r w:rsidR="00745914">
        <w:t xml:space="preserve"> 21). The Trust is still a long way off the 20:20:60 target with regards to high temperature incinerated waste </w:t>
      </w:r>
      <w:r w:rsidR="001C5897">
        <w:t xml:space="preserve">and still has a lot of progress to make towards NHS England’s 50% reduction in waste target (Figure 19 and 21). </w:t>
      </w:r>
      <w:r w:rsidR="00114849">
        <w:t xml:space="preserve">We hope to achieve these targets through the new waste contracts and improved training and engagement of staff. </w:t>
      </w:r>
    </w:p>
    <w:p w14:paraId="3AAF48B5" w14:textId="77777777" w:rsidR="007B59C1" w:rsidRDefault="007B59C1" w:rsidP="0077689B"/>
    <w:p w14:paraId="1C47374A" w14:textId="481DCF87" w:rsidR="004874C8" w:rsidRPr="004874C8" w:rsidRDefault="00AA6205" w:rsidP="0077689B">
      <w:r>
        <w:t xml:space="preserve">The Trust’s recycling rate fell from </w:t>
      </w:r>
      <w:r w:rsidR="00AC40B9">
        <w:t xml:space="preserve">to 27% to 24% in 2023/24 although we reused 4 </w:t>
      </w:r>
      <w:proofErr w:type="spellStart"/>
      <w:r w:rsidR="00AC40B9">
        <w:t>tonnes</w:t>
      </w:r>
      <w:proofErr w:type="spellEnd"/>
      <w:r w:rsidR="00AC40B9">
        <w:t xml:space="preserve"> more waste </w:t>
      </w:r>
      <w:r w:rsidR="00114849">
        <w:t xml:space="preserve">destined for disposal, </w:t>
      </w:r>
      <w:r w:rsidR="00457C7C">
        <w:t>saving the Trust £</w:t>
      </w:r>
      <w:r w:rsidR="00114849">
        <w:t>109,284.59 in one year</w:t>
      </w:r>
      <w:r w:rsidR="00AC40B9">
        <w:t xml:space="preserve">. </w:t>
      </w:r>
    </w:p>
    <w:p w14:paraId="1C5745E3" w14:textId="105A8295" w:rsidR="00EE3AEA" w:rsidRDefault="00EE3AEA" w:rsidP="00EE3AEA">
      <w:pPr>
        <w:keepNext/>
        <w:rPr>
          <w:noProof/>
        </w:rPr>
      </w:pPr>
    </w:p>
    <w:p w14:paraId="75C9C35D" w14:textId="41309B43" w:rsidR="00121DE0" w:rsidRDefault="006E6065" w:rsidP="00EE3AEA">
      <w:pPr>
        <w:keepNext/>
      </w:pPr>
      <w:r>
        <w:rPr>
          <w:noProof/>
        </w:rPr>
        <w:drawing>
          <wp:inline distT="0" distB="0" distL="0" distR="0" wp14:anchorId="00C14278" wp14:editId="355E4471">
            <wp:extent cx="6836410" cy="2371725"/>
            <wp:effectExtent l="0" t="0" r="2540" b="9525"/>
            <wp:docPr id="195852319" name="Picture 1" descr="Two graphs showing the carbon and volume of waste produced per financial year from 2019-2024. First bar chart shows carbon emitted per waste treatment type benchmarked against the NHS England target to reduce waste by 50% compared to 2022/23. The second bar chart shows the volumes of waste classified for certain waste treatment methods: anaerobic digestion, landfill, recycling, domestics incineration, offensive incineration, alternative treatment, high temperature incine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2319" name="Picture 1" descr="Two graphs showing the carbon and volume of waste produced per financial year from 2019-2024. First bar chart shows carbon emitted per waste treatment type benchmarked against the NHS England target to reduce waste by 50% compared to 2022/23. The second bar chart shows the volumes of waste classified for certain waste treatment methods: anaerobic digestion, landfill, recycling, domestics incineration, offensive incineration, alternative treatment, high temperature incineration. "/>
                    <pic:cNvPicPr/>
                  </pic:nvPicPr>
                  <pic:blipFill>
                    <a:blip r:embed="rId23"/>
                    <a:stretch>
                      <a:fillRect/>
                    </a:stretch>
                  </pic:blipFill>
                  <pic:spPr>
                    <a:xfrm>
                      <a:off x="0" y="0"/>
                      <a:ext cx="6836410" cy="2371725"/>
                    </a:xfrm>
                    <a:prstGeom prst="rect">
                      <a:avLst/>
                    </a:prstGeom>
                  </pic:spPr>
                </pic:pic>
              </a:graphicData>
            </a:graphic>
          </wp:inline>
        </w:drawing>
      </w:r>
    </w:p>
    <w:p w14:paraId="176D6E0B" w14:textId="2E3FDE01" w:rsidR="00770455" w:rsidRDefault="00EE3AEA" w:rsidP="00EE3AEA">
      <w:pPr>
        <w:pStyle w:val="Caption"/>
      </w:pPr>
      <w:r>
        <w:t xml:space="preserve">Figure 19 </w:t>
      </w:r>
      <w:r w:rsidR="00206DFD">
        <w:t xml:space="preserve">and 20 </w:t>
      </w:r>
      <w:r>
        <w:t>W</w:t>
      </w:r>
      <w:r w:rsidR="008D45A5">
        <w:t xml:space="preserve">eight of </w:t>
      </w:r>
      <w:r w:rsidR="001B7ADE">
        <w:t>waste sent for different types of waste treatment</w:t>
      </w:r>
      <w:r w:rsidR="008D45A5">
        <w:t xml:space="preserve"> and weight of waste </w:t>
      </w:r>
      <w:r w:rsidR="001B7ADE">
        <w:t xml:space="preserve">categorized as different types of waste for each financial year. </w:t>
      </w:r>
    </w:p>
    <w:p w14:paraId="4007EC31" w14:textId="77777777" w:rsidR="00CF11B4" w:rsidRDefault="00CF11B4" w:rsidP="00CF11B4"/>
    <w:p w14:paraId="75D10514" w14:textId="22C747C5" w:rsidR="00693D6A" w:rsidRDefault="00AA6205" w:rsidP="00D40905">
      <w:pPr>
        <w:keepNext/>
        <w:jc w:val="center"/>
      </w:pPr>
      <w:r>
        <w:rPr>
          <w:noProof/>
        </w:rPr>
        <w:lastRenderedPageBreak/>
        <w:drawing>
          <wp:inline distT="0" distB="0" distL="0" distR="0" wp14:anchorId="52192190" wp14:editId="00A5A45A">
            <wp:extent cx="3495821" cy="2284098"/>
            <wp:effectExtent l="0" t="0" r="9525" b="1905"/>
            <wp:docPr id="499684832" name="Picture 1" descr="Bar chart showing the percentage ratio of clinical waste segregated for high temperature incineration, alternative treatment and offensive waste per financial year from 2019-2024 benchmarked against NHS England's 2026 target to achieve a 60:20:20 ratio of clinical waste segregated for offensive waste, alternative treatment and high temperature incine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84832" name="Picture 1" descr="Bar chart showing the percentage ratio of clinical waste segregated for high temperature incineration, alternative treatment and offensive waste per financial year from 2019-2024 benchmarked against NHS England's 2026 target to achieve a 60:20:20 ratio of clinical waste segregated for offensive waste, alternative treatment and high temperature incineration. "/>
                    <pic:cNvPicPr/>
                  </pic:nvPicPr>
                  <pic:blipFill>
                    <a:blip r:embed="rId24"/>
                    <a:stretch>
                      <a:fillRect/>
                    </a:stretch>
                  </pic:blipFill>
                  <pic:spPr>
                    <a:xfrm>
                      <a:off x="0" y="0"/>
                      <a:ext cx="3504290" cy="2289632"/>
                    </a:xfrm>
                    <a:prstGeom prst="rect">
                      <a:avLst/>
                    </a:prstGeom>
                  </pic:spPr>
                </pic:pic>
              </a:graphicData>
            </a:graphic>
          </wp:inline>
        </w:drawing>
      </w:r>
    </w:p>
    <w:p w14:paraId="269402F7" w14:textId="104B27F5" w:rsidR="00CF11B4" w:rsidRPr="00CF11B4" w:rsidRDefault="00693D6A" w:rsidP="00693D6A">
      <w:pPr>
        <w:pStyle w:val="Caption"/>
      </w:pPr>
      <w:r>
        <w:t>Figure 21</w:t>
      </w:r>
      <w:r w:rsidR="00D40905">
        <w:t>The percentage of clinical waste classified as high temperature incinerated waste, alternative treatment waste and offensive waste</w:t>
      </w:r>
      <w:r w:rsidR="00E60A1F">
        <w:t xml:space="preserve"> for each financial year benchmarked against NHS England’s 20:20:60 clinical waste segregation target outlined in the Clinical Waste Strategy. </w:t>
      </w:r>
    </w:p>
    <w:sectPr w:rsidR="00CF11B4" w:rsidRPr="00CF11B4" w:rsidSect="00654481">
      <w:type w:val="continuous"/>
      <w:pgSz w:w="11900" w:h="16840"/>
      <w:pgMar w:top="2552" w:right="567" w:bottom="567" w:left="567" w:header="720" w:footer="663"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C0C9" w14:textId="77777777" w:rsidR="007650DA" w:rsidRDefault="007650DA" w:rsidP="008B4E50">
      <w:r>
        <w:separator/>
      </w:r>
    </w:p>
  </w:endnote>
  <w:endnote w:type="continuationSeparator" w:id="0">
    <w:p w14:paraId="165FB464" w14:textId="77777777" w:rsidR="007650DA" w:rsidRDefault="007650DA" w:rsidP="008B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rik">
    <w:charset w:val="00"/>
    <w:family w:val="auto"/>
    <w:pitch w:val="variable"/>
    <w:sig w:usb0="80000027" w:usb1="40000000"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8356789"/>
      <w:docPartObj>
        <w:docPartGallery w:val="Page Numbers (Bottom of Page)"/>
        <w:docPartUnique/>
      </w:docPartObj>
    </w:sdtPr>
    <w:sdtContent>
      <w:p w14:paraId="408AA4A3" w14:textId="62468E73" w:rsidR="00C459B1" w:rsidRDefault="00C459B1" w:rsidP="002E5C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2CB17" w14:textId="4463BE61" w:rsidR="00E827D6" w:rsidRDefault="00E827D6" w:rsidP="00C459B1">
    <w:pPr>
      <w:pStyle w:val="Footer"/>
      <w:spacing w:before="120"/>
      <w:ind w:left="284"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5480190"/>
      <w:docPartObj>
        <w:docPartGallery w:val="Page Numbers (Bottom of Page)"/>
        <w:docPartUnique/>
      </w:docPartObj>
    </w:sdtPr>
    <w:sdtContent>
      <w:p w14:paraId="557BB3E6" w14:textId="5FF22F57" w:rsidR="00C459B1" w:rsidRDefault="00C459B1" w:rsidP="00C459B1">
        <w:pPr>
          <w:pStyle w:val="Footer"/>
          <w:framePr w:wrap="none" w:vAnchor="text" w:hAnchor="page" w:x="11195" w:y="-279"/>
          <w:rPr>
            <w:rStyle w:val="PageNumber"/>
          </w:rPr>
        </w:pPr>
        <w:r>
          <w:rPr>
            <w:rStyle w:val="PageNumber"/>
          </w:rPr>
          <w:fldChar w:fldCharType="begin"/>
        </w:r>
        <w:r>
          <w:rPr>
            <w:rStyle w:val="PageNumber"/>
          </w:rPr>
          <w:instrText xml:space="preserve"> PAGE </w:instrText>
        </w:r>
        <w:r>
          <w:rPr>
            <w:rStyle w:val="PageNumber"/>
          </w:rPr>
          <w:fldChar w:fldCharType="separate"/>
        </w:r>
        <w:r w:rsidR="00CD2198">
          <w:rPr>
            <w:rStyle w:val="PageNumber"/>
            <w:noProof/>
          </w:rPr>
          <w:t>2</w:t>
        </w:r>
        <w:r>
          <w:rPr>
            <w:rStyle w:val="PageNumber"/>
          </w:rPr>
          <w:fldChar w:fldCharType="end"/>
        </w:r>
      </w:p>
    </w:sdtContent>
  </w:sdt>
  <w:p w14:paraId="6570CB99" w14:textId="5E6E4142" w:rsidR="00C459B1" w:rsidRDefault="00DB050F" w:rsidP="00C459B1">
    <w:pPr>
      <w:pStyle w:val="Footer"/>
      <w:ind w:right="360"/>
    </w:pPr>
    <w:r>
      <w:rPr>
        <w:noProof/>
      </w:rPr>
      <w:drawing>
        <wp:anchor distT="0" distB="0" distL="114300" distR="114300" simplePos="0" relativeHeight="251660288" behindDoc="1" locked="0" layoutInCell="1" allowOverlap="1" wp14:anchorId="2063169A" wp14:editId="54309AB3">
          <wp:simplePos x="0" y="0"/>
          <wp:positionH relativeFrom="page">
            <wp:align>left</wp:align>
          </wp:positionH>
          <wp:positionV relativeFrom="paragraph">
            <wp:posOffset>-564515</wp:posOffset>
          </wp:positionV>
          <wp:extent cx="6836410" cy="1149985"/>
          <wp:effectExtent l="0" t="0" r="0" b="0"/>
          <wp:wrapTight wrapText="bothSides">
            <wp:wrapPolygon edited="0">
              <wp:start x="0" y="13597"/>
              <wp:lineTo x="0" y="21111"/>
              <wp:lineTo x="20886" y="21111"/>
              <wp:lineTo x="20946" y="18248"/>
              <wp:lineTo x="20705" y="15028"/>
              <wp:lineTo x="20404" y="13597"/>
              <wp:lineTo x="0" y="13597"/>
            </wp:wrapPolygon>
          </wp:wrapTight>
          <wp:docPr id="3" name="Picture 3" descr="NBT Cares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BT Cares pag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114998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DD37" w14:textId="77777777" w:rsidR="007650DA" w:rsidRDefault="007650DA" w:rsidP="008B4E50">
      <w:r>
        <w:separator/>
      </w:r>
    </w:p>
  </w:footnote>
  <w:footnote w:type="continuationSeparator" w:id="0">
    <w:p w14:paraId="0CA3E073" w14:textId="77777777" w:rsidR="007650DA" w:rsidRDefault="007650DA" w:rsidP="008B4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AE12" w14:textId="0773DED8" w:rsidR="00C459B1" w:rsidRDefault="00C459B1" w:rsidP="00C459B1">
    <w:pPr>
      <w:pStyle w:val="Header"/>
      <w:ind w:right="-7"/>
    </w:pPr>
    <w:r>
      <w:rPr>
        <w:noProof/>
        <w:lang w:val="en-GB" w:eastAsia="en-GB"/>
      </w:rPr>
      <w:drawing>
        <wp:anchor distT="0" distB="0" distL="114300" distR="114300" simplePos="0" relativeHeight="251659264" behindDoc="1" locked="0" layoutInCell="1" allowOverlap="1" wp14:anchorId="0338B0E8" wp14:editId="2E6F04C0">
          <wp:simplePos x="0" y="0"/>
          <wp:positionH relativeFrom="page">
            <wp:posOffset>5717279</wp:posOffset>
          </wp:positionH>
          <wp:positionV relativeFrom="page">
            <wp:posOffset>360045</wp:posOffset>
          </wp:positionV>
          <wp:extent cx="1461600" cy="824400"/>
          <wp:effectExtent l="0" t="0" r="0" b="1270"/>
          <wp:wrapNone/>
          <wp:docPr id="2" name="Picture 2" descr="North Bristol NH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rth Bristol NHS Trust Logo"/>
                  <pic:cNvPicPr/>
                </pic:nvPicPr>
                <pic:blipFill>
                  <a:blip r:embed="rId1">
                    <a:extLst>
                      <a:ext uri="{28A0092B-C50C-407E-A947-70E740481C1C}">
                        <a14:useLocalDpi xmlns:a14="http://schemas.microsoft.com/office/drawing/2010/main" val="0"/>
                      </a:ext>
                    </a:extLst>
                  </a:blip>
                  <a:stretch>
                    <a:fillRect/>
                  </a:stretch>
                </pic:blipFill>
                <pic:spPr>
                  <a:xfrm>
                    <a:off x="0" y="0"/>
                    <a:ext cx="1461600" cy="82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6D42"/>
    <w:multiLevelType w:val="hybridMultilevel"/>
    <w:tmpl w:val="BCD4A892"/>
    <w:lvl w:ilvl="0" w:tplc="8DCE7A2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D43C2"/>
    <w:multiLevelType w:val="hybridMultilevel"/>
    <w:tmpl w:val="5900BD0C"/>
    <w:lvl w:ilvl="0" w:tplc="40765CAE">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51730"/>
    <w:multiLevelType w:val="hybridMultilevel"/>
    <w:tmpl w:val="DFC2B2F2"/>
    <w:lvl w:ilvl="0" w:tplc="7A58FD3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B4103F"/>
    <w:multiLevelType w:val="hybridMultilevel"/>
    <w:tmpl w:val="F82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97BBF"/>
    <w:multiLevelType w:val="hybridMultilevel"/>
    <w:tmpl w:val="3CDC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54EE7"/>
    <w:multiLevelType w:val="hybridMultilevel"/>
    <w:tmpl w:val="0248F076"/>
    <w:lvl w:ilvl="0" w:tplc="8DCE7A2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17620"/>
    <w:multiLevelType w:val="hybridMultilevel"/>
    <w:tmpl w:val="017EBDDE"/>
    <w:lvl w:ilvl="0" w:tplc="40765CA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15124"/>
    <w:multiLevelType w:val="hybridMultilevel"/>
    <w:tmpl w:val="0C3829F2"/>
    <w:lvl w:ilvl="0" w:tplc="9FAE4B9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44919"/>
    <w:multiLevelType w:val="hybridMultilevel"/>
    <w:tmpl w:val="05224ED4"/>
    <w:lvl w:ilvl="0" w:tplc="22EC42D4">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31650"/>
    <w:multiLevelType w:val="hybridMultilevel"/>
    <w:tmpl w:val="83B8A880"/>
    <w:lvl w:ilvl="0" w:tplc="9FAE4B9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80A60"/>
    <w:multiLevelType w:val="hybridMultilevel"/>
    <w:tmpl w:val="47FCEB5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D6765"/>
    <w:multiLevelType w:val="hybridMultilevel"/>
    <w:tmpl w:val="B0147D7E"/>
    <w:lvl w:ilvl="0" w:tplc="22EC42D4">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77D29"/>
    <w:multiLevelType w:val="hybridMultilevel"/>
    <w:tmpl w:val="18E8F830"/>
    <w:lvl w:ilvl="0" w:tplc="9FAE4B9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DB4C01"/>
    <w:multiLevelType w:val="hybridMultilevel"/>
    <w:tmpl w:val="3116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5607A"/>
    <w:multiLevelType w:val="hybridMultilevel"/>
    <w:tmpl w:val="DE3A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2E4CBB"/>
    <w:multiLevelType w:val="hybridMultilevel"/>
    <w:tmpl w:val="F510F516"/>
    <w:lvl w:ilvl="0" w:tplc="E8F2489E">
      <w:start w:val="1"/>
      <w:numFmt w:val="bullet"/>
      <w:lvlText w:val=""/>
      <w:lvlJc w:val="left"/>
      <w:pPr>
        <w:ind w:left="360" w:hanging="360"/>
      </w:pPr>
      <w:rPr>
        <w:rFonts w:ascii="Symbol" w:hAnsi="Symbol" w:hint="default"/>
        <w:sz w:val="24"/>
      </w:rPr>
    </w:lvl>
    <w:lvl w:ilvl="1" w:tplc="D8C6A810">
      <w:start w:val="1"/>
      <w:numFmt w:val="bullet"/>
      <w:lvlText w:val=""/>
      <w:lvlJc w:val="left"/>
      <w:pPr>
        <w:ind w:left="360" w:hanging="360"/>
      </w:pPr>
      <w:rPr>
        <w:rFonts w:ascii="Symbol" w:hAnsi="Symbol"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06BCB"/>
    <w:multiLevelType w:val="hybridMultilevel"/>
    <w:tmpl w:val="43BCE3CC"/>
    <w:lvl w:ilvl="0" w:tplc="40765CA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64334"/>
    <w:multiLevelType w:val="hybridMultilevel"/>
    <w:tmpl w:val="ECBA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86FD8"/>
    <w:multiLevelType w:val="hybridMultilevel"/>
    <w:tmpl w:val="1268710E"/>
    <w:lvl w:ilvl="0" w:tplc="9FAE4B9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6759D"/>
    <w:multiLevelType w:val="hybridMultilevel"/>
    <w:tmpl w:val="9D7E8B5E"/>
    <w:lvl w:ilvl="0" w:tplc="9FAE4B9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47FD8"/>
    <w:multiLevelType w:val="hybridMultilevel"/>
    <w:tmpl w:val="C5B0ACAA"/>
    <w:lvl w:ilvl="0" w:tplc="7A58FD3E">
      <w:start w:val="1"/>
      <w:numFmt w:val="bullet"/>
      <w:lvlText w:val=""/>
      <w:lvlJc w:val="left"/>
      <w:pPr>
        <w:ind w:left="360" w:hanging="360"/>
      </w:pPr>
      <w:rPr>
        <w:rFonts w:ascii="Symbol" w:hAnsi="Symbol" w:hint="default"/>
        <w:sz w:val="24"/>
      </w:rPr>
    </w:lvl>
    <w:lvl w:ilvl="1" w:tplc="A6BE573C">
      <w:start w:val="1"/>
      <w:numFmt w:val="bullet"/>
      <w:pStyle w:val="NHSbodybulleted"/>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7C2161"/>
    <w:multiLevelType w:val="hybridMultilevel"/>
    <w:tmpl w:val="9D90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2F768D"/>
    <w:multiLevelType w:val="hybridMultilevel"/>
    <w:tmpl w:val="8DD006C6"/>
    <w:lvl w:ilvl="0" w:tplc="9FAE4B9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94B50"/>
    <w:multiLevelType w:val="hybridMultilevel"/>
    <w:tmpl w:val="15D6038A"/>
    <w:lvl w:ilvl="0" w:tplc="40765CA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3750D"/>
    <w:multiLevelType w:val="hybridMultilevel"/>
    <w:tmpl w:val="6C04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86C83"/>
    <w:multiLevelType w:val="hybridMultilevel"/>
    <w:tmpl w:val="46B85D8C"/>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024CE"/>
    <w:multiLevelType w:val="hybridMultilevel"/>
    <w:tmpl w:val="523E817C"/>
    <w:lvl w:ilvl="0" w:tplc="653E5B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30527B"/>
    <w:multiLevelType w:val="hybridMultilevel"/>
    <w:tmpl w:val="0014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C52D14"/>
    <w:multiLevelType w:val="hybridMultilevel"/>
    <w:tmpl w:val="4DDA2056"/>
    <w:lvl w:ilvl="0" w:tplc="8DCE7A2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26EFC"/>
    <w:multiLevelType w:val="multilevel"/>
    <w:tmpl w:val="A5D69A32"/>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86946763">
    <w:abstractNumId w:val="3"/>
  </w:num>
  <w:num w:numId="2" w16cid:durableId="1900746038">
    <w:abstractNumId w:val="26"/>
  </w:num>
  <w:num w:numId="3" w16cid:durableId="2014914312">
    <w:abstractNumId w:val="11"/>
  </w:num>
  <w:num w:numId="4" w16cid:durableId="716855893">
    <w:abstractNumId w:val="8"/>
  </w:num>
  <w:num w:numId="5" w16cid:durableId="1393457953">
    <w:abstractNumId w:val="12"/>
  </w:num>
  <w:num w:numId="6" w16cid:durableId="1208488553">
    <w:abstractNumId w:val="18"/>
  </w:num>
  <w:num w:numId="7" w16cid:durableId="254174704">
    <w:abstractNumId w:val="9"/>
  </w:num>
  <w:num w:numId="8" w16cid:durableId="538511381">
    <w:abstractNumId w:val="6"/>
  </w:num>
  <w:num w:numId="9" w16cid:durableId="168837005">
    <w:abstractNumId w:val="15"/>
  </w:num>
  <w:num w:numId="10" w16cid:durableId="30961746">
    <w:abstractNumId w:val="19"/>
  </w:num>
  <w:num w:numId="11" w16cid:durableId="1116290102">
    <w:abstractNumId w:val="7"/>
  </w:num>
  <w:num w:numId="12" w16cid:durableId="1744372695">
    <w:abstractNumId w:val="16"/>
  </w:num>
  <w:num w:numId="13" w16cid:durableId="1296066287">
    <w:abstractNumId w:val="22"/>
  </w:num>
  <w:num w:numId="14" w16cid:durableId="1713767935">
    <w:abstractNumId w:val="1"/>
  </w:num>
  <w:num w:numId="15" w16cid:durableId="142428165">
    <w:abstractNumId w:val="25"/>
  </w:num>
  <w:num w:numId="16" w16cid:durableId="1500189955">
    <w:abstractNumId w:val="10"/>
  </w:num>
  <w:num w:numId="17" w16cid:durableId="969089777">
    <w:abstractNumId w:val="13"/>
  </w:num>
  <w:num w:numId="18" w16cid:durableId="1777748318">
    <w:abstractNumId w:val="24"/>
  </w:num>
  <w:num w:numId="19" w16cid:durableId="923687505">
    <w:abstractNumId w:val="5"/>
  </w:num>
  <w:num w:numId="20" w16cid:durableId="1188832174">
    <w:abstractNumId w:val="0"/>
  </w:num>
  <w:num w:numId="21" w16cid:durableId="1260796244">
    <w:abstractNumId w:val="17"/>
  </w:num>
  <w:num w:numId="22" w16cid:durableId="1627272809">
    <w:abstractNumId w:val="28"/>
  </w:num>
  <w:num w:numId="23" w16cid:durableId="1145849895">
    <w:abstractNumId w:val="23"/>
  </w:num>
  <w:num w:numId="24" w16cid:durableId="15691724">
    <w:abstractNumId w:val="2"/>
  </w:num>
  <w:num w:numId="25" w16cid:durableId="1663584223">
    <w:abstractNumId w:val="20"/>
  </w:num>
  <w:num w:numId="26" w16cid:durableId="1486509073">
    <w:abstractNumId w:val="27"/>
  </w:num>
  <w:num w:numId="27" w16cid:durableId="1359887563">
    <w:abstractNumId w:val="4"/>
  </w:num>
  <w:num w:numId="28" w16cid:durableId="1585652583">
    <w:abstractNumId w:val="14"/>
  </w:num>
  <w:num w:numId="29" w16cid:durableId="2105026074">
    <w:abstractNumId w:val="21"/>
  </w:num>
  <w:num w:numId="30" w16cid:durableId="8039611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50"/>
    <w:rsid w:val="00004E5B"/>
    <w:rsid w:val="00007627"/>
    <w:rsid w:val="000159BA"/>
    <w:rsid w:val="000206D5"/>
    <w:rsid w:val="0003718E"/>
    <w:rsid w:val="00050C44"/>
    <w:rsid w:val="0005382B"/>
    <w:rsid w:val="000638C0"/>
    <w:rsid w:val="00066238"/>
    <w:rsid w:val="000669E8"/>
    <w:rsid w:val="0006798F"/>
    <w:rsid w:val="00070F61"/>
    <w:rsid w:val="00073EB1"/>
    <w:rsid w:val="00082BFB"/>
    <w:rsid w:val="00095F36"/>
    <w:rsid w:val="000A5C8E"/>
    <w:rsid w:val="000B30BD"/>
    <w:rsid w:val="000C041F"/>
    <w:rsid w:val="000C36A0"/>
    <w:rsid w:val="000C4FC4"/>
    <w:rsid w:val="000D33DB"/>
    <w:rsid w:val="000D407D"/>
    <w:rsid w:val="000E3584"/>
    <w:rsid w:val="000F022E"/>
    <w:rsid w:val="000F0337"/>
    <w:rsid w:val="000F7DA6"/>
    <w:rsid w:val="001003D3"/>
    <w:rsid w:val="001017B1"/>
    <w:rsid w:val="00103485"/>
    <w:rsid w:val="00105737"/>
    <w:rsid w:val="00114152"/>
    <w:rsid w:val="00114849"/>
    <w:rsid w:val="00121DE0"/>
    <w:rsid w:val="00126707"/>
    <w:rsid w:val="00127AA5"/>
    <w:rsid w:val="00136E56"/>
    <w:rsid w:val="00142E70"/>
    <w:rsid w:val="00164AB3"/>
    <w:rsid w:val="00171A3D"/>
    <w:rsid w:val="00175AA0"/>
    <w:rsid w:val="00183F9E"/>
    <w:rsid w:val="001A286C"/>
    <w:rsid w:val="001B7ADE"/>
    <w:rsid w:val="001C5897"/>
    <w:rsid w:val="001E1F74"/>
    <w:rsid w:val="001F4427"/>
    <w:rsid w:val="001F799A"/>
    <w:rsid w:val="00206DFD"/>
    <w:rsid w:val="00223CBC"/>
    <w:rsid w:val="002333C1"/>
    <w:rsid w:val="00242DA2"/>
    <w:rsid w:val="00260C19"/>
    <w:rsid w:val="00263173"/>
    <w:rsid w:val="002720E5"/>
    <w:rsid w:val="00275CB0"/>
    <w:rsid w:val="00277E24"/>
    <w:rsid w:val="002803F3"/>
    <w:rsid w:val="00282432"/>
    <w:rsid w:val="0028283A"/>
    <w:rsid w:val="0029496E"/>
    <w:rsid w:val="002A008A"/>
    <w:rsid w:val="002A61D1"/>
    <w:rsid w:val="002B27EF"/>
    <w:rsid w:val="002B31FE"/>
    <w:rsid w:val="002B7F2A"/>
    <w:rsid w:val="002E6041"/>
    <w:rsid w:val="003049FB"/>
    <w:rsid w:val="0030654F"/>
    <w:rsid w:val="00327CCA"/>
    <w:rsid w:val="003556B3"/>
    <w:rsid w:val="00365C0D"/>
    <w:rsid w:val="003724F6"/>
    <w:rsid w:val="00380F56"/>
    <w:rsid w:val="003B72C5"/>
    <w:rsid w:val="003C31A3"/>
    <w:rsid w:val="003C4CE8"/>
    <w:rsid w:val="003F34BD"/>
    <w:rsid w:val="003F4A2A"/>
    <w:rsid w:val="003F4B47"/>
    <w:rsid w:val="004000FF"/>
    <w:rsid w:val="00430A05"/>
    <w:rsid w:val="00440ED8"/>
    <w:rsid w:val="004503C1"/>
    <w:rsid w:val="00453F3C"/>
    <w:rsid w:val="00456093"/>
    <w:rsid w:val="00457C7C"/>
    <w:rsid w:val="00475252"/>
    <w:rsid w:val="00484BE3"/>
    <w:rsid w:val="004874C8"/>
    <w:rsid w:val="004967AB"/>
    <w:rsid w:val="004A16DA"/>
    <w:rsid w:val="004A4DB0"/>
    <w:rsid w:val="004A5CD6"/>
    <w:rsid w:val="004B0BDE"/>
    <w:rsid w:val="004B2DA9"/>
    <w:rsid w:val="004B5DEB"/>
    <w:rsid w:val="004B7632"/>
    <w:rsid w:val="004C40EB"/>
    <w:rsid w:val="004C79B6"/>
    <w:rsid w:val="004C7BD9"/>
    <w:rsid w:val="004D5889"/>
    <w:rsid w:val="004E2A6E"/>
    <w:rsid w:val="004F17C3"/>
    <w:rsid w:val="004F335B"/>
    <w:rsid w:val="004F4377"/>
    <w:rsid w:val="00500DFA"/>
    <w:rsid w:val="0051442D"/>
    <w:rsid w:val="0052301D"/>
    <w:rsid w:val="00535F30"/>
    <w:rsid w:val="0054194A"/>
    <w:rsid w:val="00544514"/>
    <w:rsid w:val="005536C2"/>
    <w:rsid w:val="00583C2F"/>
    <w:rsid w:val="00590D77"/>
    <w:rsid w:val="005917B5"/>
    <w:rsid w:val="00596D90"/>
    <w:rsid w:val="005A3B56"/>
    <w:rsid w:val="005A4030"/>
    <w:rsid w:val="005B59C4"/>
    <w:rsid w:val="005C1A51"/>
    <w:rsid w:val="005C7963"/>
    <w:rsid w:val="005E600C"/>
    <w:rsid w:val="005F6CD9"/>
    <w:rsid w:val="0060429E"/>
    <w:rsid w:val="00607F77"/>
    <w:rsid w:val="00624359"/>
    <w:rsid w:val="0062591D"/>
    <w:rsid w:val="00627678"/>
    <w:rsid w:val="006442C7"/>
    <w:rsid w:val="00654481"/>
    <w:rsid w:val="006651C3"/>
    <w:rsid w:val="00667020"/>
    <w:rsid w:val="006802EC"/>
    <w:rsid w:val="00681207"/>
    <w:rsid w:val="00684E10"/>
    <w:rsid w:val="00693D6A"/>
    <w:rsid w:val="006A6F44"/>
    <w:rsid w:val="006B0043"/>
    <w:rsid w:val="006B6ED7"/>
    <w:rsid w:val="006C3490"/>
    <w:rsid w:val="006C7B47"/>
    <w:rsid w:val="006D57BA"/>
    <w:rsid w:val="006E17D4"/>
    <w:rsid w:val="006E3C4F"/>
    <w:rsid w:val="006E6065"/>
    <w:rsid w:val="006F1EDC"/>
    <w:rsid w:val="006F5A9E"/>
    <w:rsid w:val="007054BB"/>
    <w:rsid w:val="007070D8"/>
    <w:rsid w:val="00730D2D"/>
    <w:rsid w:val="00733BB0"/>
    <w:rsid w:val="007347EC"/>
    <w:rsid w:val="00745914"/>
    <w:rsid w:val="00747207"/>
    <w:rsid w:val="00754E40"/>
    <w:rsid w:val="007650DA"/>
    <w:rsid w:val="00770455"/>
    <w:rsid w:val="00773281"/>
    <w:rsid w:val="0077689B"/>
    <w:rsid w:val="0079156C"/>
    <w:rsid w:val="007A159C"/>
    <w:rsid w:val="007A6995"/>
    <w:rsid w:val="007B086E"/>
    <w:rsid w:val="007B59C1"/>
    <w:rsid w:val="007B79B5"/>
    <w:rsid w:val="007D16C6"/>
    <w:rsid w:val="007D718F"/>
    <w:rsid w:val="007E7D70"/>
    <w:rsid w:val="007F3F00"/>
    <w:rsid w:val="00801820"/>
    <w:rsid w:val="00805E09"/>
    <w:rsid w:val="008060F2"/>
    <w:rsid w:val="00813F95"/>
    <w:rsid w:val="00833BD9"/>
    <w:rsid w:val="0083466D"/>
    <w:rsid w:val="00866F78"/>
    <w:rsid w:val="00883966"/>
    <w:rsid w:val="008843F1"/>
    <w:rsid w:val="008A00A3"/>
    <w:rsid w:val="008B040E"/>
    <w:rsid w:val="008B4E50"/>
    <w:rsid w:val="008B64F2"/>
    <w:rsid w:val="008C2508"/>
    <w:rsid w:val="008D45A5"/>
    <w:rsid w:val="008F0810"/>
    <w:rsid w:val="008F3E12"/>
    <w:rsid w:val="008F668D"/>
    <w:rsid w:val="00903957"/>
    <w:rsid w:val="00907CE5"/>
    <w:rsid w:val="009107F5"/>
    <w:rsid w:val="00910F48"/>
    <w:rsid w:val="00925D11"/>
    <w:rsid w:val="00927DCF"/>
    <w:rsid w:val="00927F39"/>
    <w:rsid w:val="009315EA"/>
    <w:rsid w:val="009325B4"/>
    <w:rsid w:val="00934AA0"/>
    <w:rsid w:val="00936F56"/>
    <w:rsid w:val="00963AA7"/>
    <w:rsid w:val="00973F76"/>
    <w:rsid w:val="00984F14"/>
    <w:rsid w:val="009978F4"/>
    <w:rsid w:val="009B5BC2"/>
    <w:rsid w:val="009C645A"/>
    <w:rsid w:val="009D1B5A"/>
    <w:rsid w:val="009E000B"/>
    <w:rsid w:val="009E0099"/>
    <w:rsid w:val="009F6DF6"/>
    <w:rsid w:val="00A016C2"/>
    <w:rsid w:val="00A26320"/>
    <w:rsid w:val="00A32B9F"/>
    <w:rsid w:val="00A37685"/>
    <w:rsid w:val="00A4670C"/>
    <w:rsid w:val="00A5373B"/>
    <w:rsid w:val="00A634F0"/>
    <w:rsid w:val="00A676A7"/>
    <w:rsid w:val="00A80563"/>
    <w:rsid w:val="00A8623C"/>
    <w:rsid w:val="00A87619"/>
    <w:rsid w:val="00AA252C"/>
    <w:rsid w:val="00AA6205"/>
    <w:rsid w:val="00AA6EB7"/>
    <w:rsid w:val="00AB5349"/>
    <w:rsid w:val="00AB66CC"/>
    <w:rsid w:val="00AB7E72"/>
    <w:rsid w:val="00AC12BC"/>
    <w:rsid w:val="00AC1B44"/>
    <w:rsid w:val="00AC40B9"/>
    <w:rsid w:val="00AD6133"/>
    <w:rsid w:val="00AD7955"/>
    <w:rsid w:val="00B01D7C"/>
    <w:rsid w:val="00B11564"/>
    <w:rsid w:val="00B3112F"/>
    <w:rsid w:val="00B3192A"/>
    <w:rsid w:val="00B41A6C"/>
    <w:rsid w:val="00B47BF2"/>
    <w:rsid w:val="00B61C5F"/>
    <w:rsid w:val="00B62BC6"/>
    <w:rsid w:val="00B64526"/>
    <w:rsid w:val="00B65793"/>
    <w:rsid w:val="00B7230C"/>
    <w:rsid w:val="00BA2680"/>
    <w:rsid w:val="00BA78D3"/>
    <w:rsid w:val="00BB50B5"/>
    <w:rsid w:val="00BC3273"/>
    <w:rsid w:val="00BD2BBB"/>
    <w:rsid w:val="00BD55D0"/>
    <w:rsid w:val="00BE5238"/>
    <w:rsid w:val="00BE6649"/>
    <w:rsid w:val="00BF5B44"/>
    <w:rsid w:val="00C04F5F"/>
    <w:rsid w:val="00C1099E"/>
    <w:rsid w:val="00C16F7D"/>
    <w:rsid w:val="00C21746"/>
    <w:rsid w:val="00C34F04"/>
    <w:rsid w:val="00C40BB3"/>
    <w:rsid w:val="00C41689"/>
    <w:rsid w:val="00C459B1"/>
    <w:rsid w:val="00C81E70"/>
    <w:rsid w:val="00C84B1C"/>
    <w:rsid w:val="00C9112F"/>
    <w:rsid w:val="00CB314F"/>
    <w:rsid w:val="00CD2198"/>
    <w:rsid w:val="00CD4D09"/>
    <w:rsid w:val="00CE6CDE"/>
    <w:rsid w:val="00CF11B4"/>
    <w:rsid w:val="00CF22BD"/>
    <w:rsid w:val="00CF2E37"/>
    <w:rsid w:val="00CF3E68"/>
    <w:rsid w:val="00D122C8"/>
    <w:rsid w:val="00D12428"/>
    <w:rsid w:val="00D16ACE"/>
    <w:rsid w:val="00D32F88"/>
    <w:rsid w:val="00D3614C"/>
    <w:rsid w:val="00D40905"/>
    <w:rsid w:val="00D5492E"/>
    <w:rsid w:val="00D54EAF"/>
    <w:rsid w:val="00D63F96"/>
    <w:rsid w:val="00D73B80"/>
    <w:rsid w:val="00D856B1"/>
    <w:rsid w:val="00D963CD"/>
    <w:rsid w:val="00DB050F"/>
    <w:rsid w:val="00DB5775"/>
    <w:rsid w:val="00DB6594"/>
    <w:rsid w:val="00DC1E7D"/>
    <w:rsid w:val="00E0010B"/>
    <w:rsid w:val="00E057B3"/>
    <w:rsid w:val="00E12185"/>
    <w:rsid w:val="00E17C4D"/>
    <w:rsid w:val="00E47243"/>
    <w:rsid w:val="00E501CA"/>
    <w:rsid w:val="00E60204"/>
    <w:rsid w:val="00E60A1F"/>
    <w:rsid w:val="00E643B0"/>
    <w:rsid w:val="00E728FA"/>
    <w:rsid w:val="00E8040B"/>
    <w:rsid w:val="00E80915"/>
    <w:rsid w:val="00E827D6"/>
    <w:rsid w:val="00E9098F"/>
    <w:rsid w:val="00E9359E"/>
    <w:rsid w:val="00E95FC7"/>
    <w:rsid w:val="00EB0FEA"/>
    <w:rsid w:val="00EB71B5"/>
    <w:rsid w:val="00EC5588"/>
    <w:rsid w:val="00ED18DD"/>
    <w:rsid w:val="00EE3AEA"/>
    <w:rsid w:val="00F110F7"/>
    <w:rsid w:val="00F2568F"/>
    <w:rsid w:val="00F33FF4"/>
    <w:rsid w:val="00F42377"/>
    <w:rsid w:val="00F47296"/>
    <w:rsid w:val="00F6597F"/>
    <w:rsid w:val="00F91DFC"/>
    <w:rsid w:val="00F94166"/>
    <w:rsid w:val="00FA1DD9"/>
    <w:rsid w:val="00FA241D"/>
    <w:rsid w:val="00FC2C53"/>
    <w:rsid w:val="00FC315D"/>
    <w:rsid w:val="00FC3F66"/>
    <w:rsid w:val="00FF5DF7"/>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0EAC0"/>
  <w14:defaultImageDpi w14:val="32767"/>
  <w15:docId w15:val="{0401A9BA-175C-4BD0-98C7-E056B9EE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88"/>
    <w:rPr>
      <w:rFonts w:ascii="Arial" w:hAnsi="Arial"/>
    </w:rPr>
  </w:style>
  <w:style w:type="paragraph" w:styleId="Heading1">
    <w:name w:val="heading 1"/>
    <w:basedOn w:val="Normal"/>
    <w:next w:val="Normal"/>
    <w:link w:val="Heading1Char"/>
    <w:uiPriority w:val="9"/>
    <w:qFormat/>
    <w:rsid w:val="00F91DFC"/>
    <w:pPr>
      <w:keepNext/>
      <w:keepLines/>
      <w:spacing w:before="240"/>
      <w:outlineLvl w:val="0"/>
    </w:pPr>
    <w:rPr>
      <w:rFonts w:asciiTheme="majorHAnsi" w:eastAsiaTheme="majorEastAsia" w:hAnsiTheme="majorHAnsi" w:cstheme="majorBidi"/>
      <w:color w:val="002365" w:themeColor="accent1" w:themeShade="BF"/>
      <w:sz w:val="32"/>
      <w:szCs w:val="32"/>
    </w:rPr>
  </w:style>
  <w:style w:type="paragraph" w:styleId="Heading2">
    <w:name w:val="heading 2"/>
    <w:basedOn w:val="Normal"/>
    <w:next w:val="Normal"/>
    <w:link w:val="Heading2Char"/>
    <w:uiPriority w:val="9"/>
    <w:semiHidden/>
    <w:unhideWhenUsed/>
    <w:qFormat/>
    <w:rsid w:val="00F91DFC"/>
    <w:pPr>
      <w:keepNext/>
      <w:keepLines/>
      <w:spacing w:before="40"/>
      <w:outlineLvl w:val="1"/>
    </w:pPr>
    <w:rPr>
      <w:rFonts w:asciiTheme="majorHAnsi" w:eastAsiaTheme="majorEastAsia" w:hAnsiTheme="majorHAnsi" w:cstheme="majorBidi"/>
      <w:color w:val="00236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6CC"/>
    <w:rPr>
      <w:rFonts w:ascii="Rubrik" w:hAnsi="Rubrik"/>
      <w:color w:val="415563" w:themeColor="text2"/>
      <w:sz w:val="20"/>
    </w:rPr>
    <w:tblPr>
      <w:tblStyleRowBandSize w:val="1"/>
      <w:tblStyleColBandSize w:val="1"/>
      <w:tblBorders>
        <w:top w:val="single" w:sz="4" w:space="0" w:color="415563" w:themeColor="text2"/>
        <w:bottom w:val="single" w:sz="4" w:space="0" w:color="415563" w:themeColor="text2"/>
        <w:insideH w:val="single" w:sz="4" w:space="0" w:color="415563" w:themeColor="text2"/>
      </w:tblBorders>
      <w:tblCellMar>
        <w:top w:w="113" w:type="dxa"/>
        <w:left w:w="142" w:type="dxa"/>
        <w:bottom w:w="113" w:type="dxa"/>
        <w:right w:w="142" w:type="dxa"/>
      </w:tblCellMar>
    </w:tblPr>
    <w:tcPr>
      <w:shd w:val="clear" w:color="auto" w:fill="auto"/>
    </w:tcPr>
    <w:tblStylePr w:type="firstRow">
      <w:rPr>
        <w:rFonts w:ascii="Rubrik" w:hAnsi="Rubrik"/>
        <w:sz w:val="16"/>
      </w:rPr>
      <w:tblPr/>
      <w:tcPr>
        <w:tcBorders>
          <w:top w:val="single" w:sz="4" w:space="0" w:color="415563" w:themeColor="text2"/>
          <w:bottom w:val="single" w:sz="4" w:space="0" w:color="415563" w:themeColor="text2"/>
          <w:insideH w:val="nil"/>
        </w:tcBorders>
        <w:shd w:val="clear" w:color="auto" w:fill="auto"/>
      </w:tcPr>
    </w:tblStylePr>
    <w:tblStylePr w:type="band1Vert">
      <w:tblPr/>
      <w:tcPr>
        <w:shd w:val="clear" w:color="auto" w:fill="D5DDE3" w:themeFill="text2" w:themeFillTint="33"/>
      </w:tcPr>
    </w:tblStylePr>
    <w:tblStylePr w:type="band1Horz">
      <w:tblPr/>
      <w:tcPr>
        <w:shd w:val="clear" w:color="auto" w:fill="auto"/>
      </w:tcPr>
    </w:tblStylePr>
  </w:style>
  <w:style w:type="paragraph" w:styleId="Header">
    <w:name w:val="header"/>
    <w:basedOn w:val="Normal"/>
    <w:link w:val="HeaderChar"/>
    <w:uiPriority w:val="99"/>
    <w:unhideWhenUsed/>
    <w:rsid w:val="008B4E50"/>
    <w:pPr>
      <w:tabs>
        <w:tab w:val="center" w:pos="4680"/>
        <w:tab w:val="right" w:pos="9360"/>
      </w:tabs>
    </w:pPr>
  </w:style>
  <w:style w:type="character" w:customStyle="1" w:styleId="HeaderChar">
    <w:name w:val="Header Char"/>
    <w:basedOn w:val="DefaultParagraphFont"/>
    <w:link w:val="Header"/>
    <w:uiPriority w:val="99"/>
    <w:rsid w:val="008B4E50"/>
    <w:rPr>
      <w:rFonts w:ascii="Arial" w:hAnsi="Arial"/>
    </w:rPr>
  </w:style>
  <w:style w:type="paragraph" w:styleId="Footer">
    <w:name w:val="footer"/>
    <w:basedOn w:val="Normal"/>
    <w:link w:val="FooterChar"/>
    <w:uiPriority w:val="99"/>
    <w:unhideWhenUsed/>
    <w:rsid w:val="008B4E50"/>
    <w:pPr>
      <w:tabs>
        <w:tab w:val="center" w:pos="4680"/>
        <w:tab w:val="right" w:pos="9360"/>
      </w:tabs>
    </w:pPr>
  </w:style>
  <w:style w:type="character" w:customStyle="1" w:styleId="FooterChar">
    <w:name w:val="Footer Char"/>
    <w:basedOn w:val="DefaultParagraphFont"/>
    <w:link w:val="Footer"/>
    <w:uiPriority w:val="99"/>
    <w:rsid w:val="008B4E50"/>
    <w:rPr>
      <w:rFonts w:ascii="Arial" w:hAnsi="Arial"/>
    </w:rPr>
  </w:style>
  <w:style w:type="paragraph" w:styleId="BalloonText">
    <w:name w:val="Balloon Text"/>
    <w:basedOn w:val="Normal"/>
    <w:link w:val="BalloonTextChar"/>
    <w:uiPriority w:val="99"/>
    <w:semiHidden/>
    <w:unhideWhenUsed/>
    <w:rsid w:val="008B4E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4E50"/>
    <w:rPr>
      <w:rFonts w:ascii="Times New Roman" w:hAnsi="Times New Roman" w:cs="Times New Roman"/>
      <w:sz w:val="18"/>
      <w:szCs w:val="18"/>
    </w:rPr>
  </w:style>
  <w:style w:type="paragraph" w:customStyle="1" w:styleId="NHSHeadlinefrontcover">
    <w:name w:val="NHS Headline frontcover"/>
    <w:basedOn w:val="Normal"/>
    <w:qFormat/>
    <w:rsid w:val="00BA78D3"/>
    <w:rPr>
      <w:b/>
      <w:color w:val="005EB8" w:themeColor="accent2"/>
      <w:sz w:val="144"/>
      <w:szCs w:val="144"/>
    </w:rPr>
  </w:style>
  <w:style w:type="paragraph" w:customStyle="1" w:styleId="NHSBluehead1">
    <w:name w:val="NHS Blue head 1"/>
    <w:basedOn w:val="Normal"/>
    <w:qFormat/>
    <w:rsid w:val="00C459B1"/>
    <w:rPr>
      <w:b/>
      <w:color w:val="005EB8" w:themeColor="accent2"/>
      <w:sz w:val="72"/>
      <w:szCs w:val="72"/>
    </w:rPr>
  </w:style>
  <w:style w:type="paragraph" w:customStyle="1" w:styleId="NHSBlueIntro1">
    <w:name w:val="NHS Blue Intro 1"/>
    <w:basedOn w:val="Normal"/>
    <w:qFormat/>
    <w:rsid w:val="00C459B1"/>
    <w:pPr>
      <w:ind w:right="-7"/>
    </w:pPr>
    <w:rPr>
      <w:b/>
      <w:color w:val="005EB8" w:themeColor="accent2"/>
      <w:sz w:val="48"/>
      <w:szCs w:val="48"/>
    </w:rPr>
  </w:style>
  <w:style w:type="paragraph" w:customStyle="1" w:styleId="BasicParagraph">
    <w:name w:val="[Basic Paragraph]"/>
    <w:basedOn w:val="Normal"/>
    <w:uiPriority w:val="99"/>
    <w:rsid w:val="007E7D70"/>
    <w:pPr>
      <w:autoSpaceDE w:val="0"/>
      <w:autoSpaceDN w:val="0"/>
      <w:adjustRightInd w:val="0"/>
      <w:spacing w:line="288" w:lineRule="auto"/>
      <w:textAlignment w:val="center"/>
    </w:pPr>
    <w:rPr>
      <w:rFonts w:ascii="Minion Pro" w:hAnsi="Minion Pro" w:cs="Minion Pro"/>
      <w:color w:val="000000"/>
      <w:lang w:val="en-GB"/>
    </w:rPr>
  </w:style>
  <w:style w:type="paragraph" w:customStyle="1" w:styleId="NHSSmallsub1">
    <w:name w:val="NHS Small sub 1"/>
    <w:basedOn w:val="Normal"/>
    <w:qFormat/>
    <w:rsid w:val="008B64F2"/>
    <w:pPr>
      <w:ind w:right="-4"/>
    </w:pPr>
    <w:rPr>
      <w:rFonts w:cs="Arial"/>
      <w:b/>
      <w:bCs/>
      <w:color w:val="005EB8" w:themeColor="accent2"/>
      <w:sz w:val="28"/>
      <w:szCs w:val="28"/>
    </w:rPr>
  </w:style>
  <w:style w:type="paragraph" w:customStyle="1" w:styleId="NHSBody12pt">
    <w:name w:val="NHS Body 12pt"/>
    <w:basedOn w:val="BasicParagraph"/>
    <w:qFormat/>
    <w:rsid w:val="008B64F2"/>
    <w:pPr>
      <w:suppressAutoHyphens/>
      <w:spacing w:line="240" w:lineRule="auto"/>
      <w:ind w:right="-4"/>
    </w:pPr>
    <w:rPr>
      <w:rFonts w:ascii="Arial" w:hAnsi="Arial" w:cs="Arial"/>
    </w:rPr>
  </w:style>
  <w:style w:type="character" w:styleId="PageNumber">
    <w:name w:val="page number"/>
    <w:basedOn w:val="DefaultParagraphFont"/>
    <w:uiPriority w:val="99"/>
    <w:semiHidden/>
    <w:unhideWhenUsed/>
    <w:rsid w:val="00D54EAF"/>
  </w:style>
  <w:style w:type="paragraph" w:customStyle="1" w:styleId="NHSBlackIntro2">
    <w:name w:val="NHS Black Intro 2"/>
    <w:basedOn w:val="NHSBlueIntro1"/>
    <w:qFormat/>
    <w:rsid w:val="00D963CD"/>
    <w:pPr>
      <w:spacing w:line="440" w:lineRule="exact"/>
      <w:ind w:right="278"/>
    </w:pPr>
    <w:rPr>
      <w:sz w:val="40"/>
      <w:szCs w:val="40"/>
    </w:rPr>
  </w:style>
  <w:style w:type="paragraph" w:customStyle="1" w:styleId="NHSTablebody1">
    <w:name w:val="NHS Table body 1"/>
    <w:basedOn w:val="NHSBlueIntro1"/>
    <w:qFormat/>
    <w:rsid w:val="00BA78D3"/>
    <w:pPr>
      <w:ind w:right="-146"/>
    </w:pPr>
    <w:rPr>
      <w:b w:val="0"/>
      <w:sz w:val="24"/>
      <w:szCs w:val="24"/>
    </w:rPr>
  </w:style>
  <w:style w:type="paragraph" w:customStyle="1" w:styleId="NHSTableSub1">
    <w:name w:val="NHS Table Sub 1"/>
    <w:basedOn w:val="NHSBlueIntro1"/>
    <w:qFormat/>
    <w:rsid w:val="00BA78D3"/>
    <w:rPr>
      <w:sz w:val="24"/>
      <w:szCs w:val="24"/>
    </w:rPr>
  </w:style>
  <w:style w:type="character" w:customStyle="1" w:styleId="Heading1Char">
    <w:name w:val="Heading 1 Char"/>
    <w:basedOn w:val="DefaultParagraphFont"/>
    <w:link w:val="Heading1"/>
    <w:uiPriority w:val="9"/>
    <w:rsid w:val="00F91DFC"/>
    <w:rPr>
      <w:rFonts w:asciiTheme="majorHAnsi" w:eastAsiaTheme="majorEastAsia" w:hAnsiTheme="majorHAnsi" w:cstheme="majorBidi"/>
      <w:color w:val="002365" w:themeColor="accent1" w:themeShade="BF"/>
      <w:sz w:val="32"/>
      <w:szCs w:val="32"/>
    </w:rPr>
  </w:style>
  <w:style w:type="paragraph" w:styleId="TOC1">
    <w:name w:val="toc 1"/>
    <w:basedOn w:val="Normal"/>
    <w:next w:val="Normal"/>
    <w:autoRedefine/>
    <w:uiPriority w:val="39"/>
    <w:unhideWhenUsed/>
    <w:rsid w:val="004F335B"/>
    <w:pPr>
      <w:tabs>
        <w:tab w:val="right" w:leader="dot" w:pos="10756"/>
      </w:tabs>
      <w:spacing w:after="100"/>
    </w:pPr>
  </w:style>
  <w:style w:type="character" w:customStyle="1" w:styleId="Heading2Char">
    <w:name w:val="Heading 2 Char"/>
    <w:basedOn w:val="DefaultParagraphFont"/>
    <w:link w:val="Heading2"/>
    <w:uiPriority w:val="9"/>
    <w:semiHidden/>
    <w:rsid w:val="00F91DFC"/>
    <w:rPr>
      <w:rFonts w:asciiTheme="majorHAnsi" w:eastAsiaTheme="majorEastAsia" w:hAnsiTheme="majorHAnsi" w:cstheme="majorBidi"/>
      <w:color w:val="002365" w:themeColor="accent1" w:themeShade="BF"/>
      <w:sz w:val="26"/>
      <w:szCs w:val="26"/>
    </w:rPr>
  </w:style>
  <w:style w:type="character" w:styleId="Hyperlink">
    <w:name w:val="Hyperlink"/>
    <w:basedOn w:val="DefaultParagraphFont"/>
    <w:uiPriority w:val="99"/>
    <w:unhideWhenUsed/>
    <w:rsid w:val="00F91DFC"/>
    <w:rPr>
      <w:color w:val="231F20" w:themeColor="hyperlink"/>
      <w:u w:val="single"/>
    </w:rPr>
  </w:style>
  <w:style w:type="paragraph" w:styleId="TOC2">
    <w:name w:val="toc 2"/>
    <w:basedOn w:val="Normal"/>
    <w:next w:val="Normal"/>
    <w:autoRedefine/>
    <w:uiPriority w:val="39"/>
    <w:unhideWhenUsed/>
    <w:rsid w:val="004F335B"/>
    <w:pPr>
      <w:spacing w:after="100"/>
      <w:ind w:left="240"/>
    </w:pPr>
  </w:style>
  <w:style w:type="paragraph" w:customStyle="1" w:styleId="NHSTOC1">
    <w:name w:val="NHS TOC 1"/>
    <w:basedOn w:val="NHSBody12pt"/>
    <w:qFormat/>
    <w:rsid w:val="00E057B3"/>
    <w:pPr>
      <w:pBdr>
        <w:top w:val="single" w:sz="4" w:space="1" w:color="auto"/>
        <w:between w:val="single" w:sz="4" w:space="1" w:color="auto"/>
      </w:pBdr>
      <w:tabs>
        <w:tab w:val="right" w:pos="9356"/>
      </w:tabs>
      <w:spacing w:before="60" w:after="60"/>
    </w:pPr>
    <w:rPr>
      <w:b/>
    </w:rPr>
  </w:style>
  <w:style w:type="paragraph" w:customStyle="1" w:styleId="NHSTOC2">
    <w:name w:val="NHS TOC 2"/>
    <w:basedOn w:val="NHSTOC1"/>
    <w:qFormat/>
    <w:rsid w:val="00E057B3"/>
    <w:pPr>
      <w:tabs>
        <w:tab w:val="left" w:pos="284"/>
      </w:tabs>
    </w:pPr>
    <w:rPr>
      <w:b w:val="0"/>
    </w:rPr>
  </w:style>
  <w:style w:type="paragraph" w:customStyle="1" w:styleId="NHSbodybulleted">
    <w:name w:val="NHS body bulleted"/>
    <w:basedOn w:val="NHSBody12pt"/>
    <w:qFormat/>
    <w:rsid w:val="000638C0"/>
    <w:pPr>
      <w:numPr>
        <w:ilvl w:val="1"/>
        <w:numId w:val="25"/>
      </w:numPr>
    </w:pPr>
  </w:style>
  <w:style w:type="paragraph" w:styleId="ListParagraph">
    <w:name w:val="List Paragraph"/>
    <w:basedOn w:val="Normal"/>
    <w:uiPriority w:val="34"/>
    <w:qFormat/>
    <w:rsid w:val="00B62BC6"/>
    <w:pPr>
      <w:ind w:left="720"/>
      <w:contextualSpacing/>
    </w:pPr>
  </w:style>
  <w:style w:type="paragraph" w:styleId="Caption">
    <w:name w:val="caption"/>
    <w:basedOn w:val="Normal"/>
    <w:next w:val="Normal"/>
    <w:uiPriority w:val="35"/>
    <w:unhideWhenUsed/>
    <w:qFormat/>
    <w:rsid w:val="006B0043"/>
    <w:pPr>
      <w:spacing w:after="200"/>
    </w:pPr>
    <w:rPr>
      <w:i/>
      <w:iCs/>
      <w:color w:val="415563"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HS Feb 2019">
  <a:themeElements>
    <a:clrScheme name="NHS FEB 2019">
      <a:dk1>
        <a:srgbClr val="231F20"/>
      </a:dk1>
      <a:lt1>
        <a:srgbClr val="FFFFFF"/>
      </a:lt1>
      <a:dk2>
        <a:srgbClr val="415563"/>
      </a:dk2>
      <a:lt2>
        <a:srgbClr val="E8EDEE"/>
      </a:lt2>
      <a:accent1>
        <a:srgbClr val="003087"/>
      </a:accent1>
      <a:accent2>
        <a:srgbClr val="005EB8"/>
      </a:accent2>
      <a:accent3>
        <a:srgbClr val="0071CE"/>
      </a:accent3>
      <a:accent4>
        <a:srgbClr val="41B6E6"/>
      </a:accent4>
      <a:accent5>
        <a:srgbClr val="00A9CE"/>
      </a:accent5>
      <a:accent6>
        <a:srgbClr val="768692"/>
      </a:accent6>
      <a:hlink>
        <a:srgbClr val="231F20"/>
      </a:hlink>
      <a:folHlink>
        <a:srgbClr val="231F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NHS Feb 2019" id="{D5043748-F78B-B240-B073-58AE2508B35A}" vid="{559C20C3-B227-D847-9163-94047107F96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5FF1A2ABE224C98B767F21AD36D32" ma:contentTypeVersion="14" ma:contentTypeDescription="Create a new document." ma:contentTypeScope="" ma:versionID="07e1ee26e180c57b1865ad79aa7db5ca">
  <xsd:schema xmlns:xsd="http://www.w3.org/2001/XMLSchema" xmlns:xs="http://www.w3.org/2001/XMLSchema" xmlns:p="http://schemas.microsoft.com/office/2006/metadata/properties" xmlns:ns2="ef612e6a-d23e-4811-b298-7a2797638829" xmlns:ns3="85fd6039-888e-4c0f-b9d3-811741975100" targetNamespace="http://schemas.microsoft.com/office/2006/metadata/properties" ma:root="true" ma:fieldsID="2df753cc8b80624267c796da7a52341c" ns2:_="" ns3:_="">
    <xsd:import namespace="ef612e6a-d23e-4811-b298-7a2797638829"/>
    <xsd:import namespace="85fd6039-888e-4c0f-b9d3-8117419751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2e6a-d23e-4811-b298-7a2797638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45826a-f96a-479d-b99d-67de9b08c4d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fd6039-888e-4c0f-b9d3-8117419751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612e6a-d23e-4811-b298-7a27976388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D8F23-8A34-456D-B6B1-F9487E016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2e6a-d23e-4811-b298-7a2797638829"/>
    <ds:schemaRef ds:uri="85fd6039-888e-4c0f-b9d3-811741975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CD2F3-FA3D-4E63-9A60-647EE3B7001D}">
  <ds:schemaRefs>
    <ds:schemaRef ds:uri="http://schemas.microsoft.com/office/2006/metadata/properties"/>
    <ds:schemaRef ds:uri="http://schemas.microsoft.com/office/infopath/2007/PartnerControls"/>
    <ds:schemaRef ds:uri="ef612e6a-d23e-4811-b298-7a2797638829"/>
  </ds:schemaRefs>
</ds:datastoreItem>
</file>

<file path=customXml/itemProps3.xml><?xml version="1.0" encoding="utf-8"?>
<ds:datastoreItem xmlns:ds="http://schemas.openxmlformats.org/officeDocument/2006/customXml" ds:itemID="{70C23BB8-6DEA-4FE3-900C-2AC3A2C17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9</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Murphy</dc:creator>
  <cp:lastModifiedBy>Megan Murphy</cp:lastModifiedBy>
  <cp:revision>249</cp:revision>
  <dcterms:created xsi:type="dcterms:W3CDTF">2024-09-10T21:18:00Z</dcterms:created>
  <dcterms:modified xsi:type="dcterms:W3CDTF">2024-10-02T15:28:00Z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0x0101006595FF1A2ABE224C98B767F21AD36D32</vt:lpwstr>
  </property>
  <property fmtid="{D5CDD505-2E9C-101B-9397-08002B2CF9AE}" pid="3" name="MediaServiceImageTags">
    <vt:lpwstr/>
  </property>
</Properties>
</file>